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6C9CBA" w14:textId="77777777" w:rsidR="00E32F98" w:rsidRDefault="00000000">
      <w:pPr>
        <w:pStyle w:val="Corpsdetexte"/>
        <w:ind w:left="165"/>
        <w:rPr>
          <w:rFonts w:ascii="Times New Roman"/>
          <w:sz w:val="20"/>
        </w:rPr>
      </w:pPr>
      <w:r>
        <w:rPr>
          <w:rFonts w:ascii="Times New Roman"/>
          <w:noProof/>
          <w:sz w:val="20"/>
        </w:rPr>
        <mc:AlternateContent>
          <mc:Choice Requires="wps">
            <w:drawing>
              <wp:anchor distT="0" distB="0" distL="0" distR="0" simplePos="0" relativeHeight="15729152" behindDoc="0" locked="0" layoutInCell="1" allowOverlap="1" wp14:anchorId="14FB4896" wp14:editId="071C687B">
                <wp:simplePos x="0" y="0"/>
                <wp:positionH relativeFrom="page">
                  <wp:posOffset>270575</wp:posOffset>
                </wp:positionH>
                <wp:positionV relativeFrom="page">
                  <wp:posOffset>1118555</wp:posOffset>
                </wp:positionV>
                <wp:extent cx="146050" cy="92100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6591382B"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21.305176pt;margin-top:88.075211pt;width:11.5pt;height:725.2pt;mso-position-horizontal-relative:page;mso-position-vertical-relative:page;z-index:15729152" type="#_x0000_t202" id="docshape1"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r>
        <w:rPr>
          <w:rFonts w:ascii="Times New Roman"/>
          <w:noProof/>
          <w:sz w:val="20"/>
        </w:rPr>
        <w:drawing>
          <wp:inline distT="0" distB="0" distL="0" distR="0" wp14:anchorId="67E0DCD2" wp14:editId="38844F96">
            <wp:extent cx="1524878" cy="420624"/>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524878" cy="420624"/>
                    </a:xfrm>
                    <a:prstGeom prst="rect">
                      <a:avLst/>
                    </a:prstGeom>
                  </pic:spPr>
                </pic:pic>
              </a:graphicData>
            </a:graphic>
          </wp:inline>
        </w:drawing>
      </w:r>
    </w:p>
    <w:p w14:paraId="3DC54CFC" w14:textId="77777777" w:rsidR="00E32F98" w:rsidRDefault="00000000">
      <w:pPr>
        <w:spacing w:before="4"/>
        <w:ind w:right="159"/>
        <w:jc w:val="right"/>
        <w:rPr>
          <w:sz w:val="18"/>
        </w:rPr>
      </w:pPr>
      <w:r>
        <w:rPr>
          <w:noProof/>
          <w:sz w:val="18"/>
        </w:rPr>
        <mc:AlternateContent>
          <mc:Choice Requires="wps">
            <w:drawing>
              <wp:anchor distT="0" distB="0" distL="0" distR="0" simplePos="0" relativeHeight="487587840" behindDoc="1" locked="0" layoutInCell="1" allowOverlap="1" wp14:anchorId="46EE0B87" wp14:editId="353D124F">
                <wp:simplePos x="0" y="0"/>
                <wp:positionH relativeFrom="page">
                  <wp:posOffset>896619</wp:posOffset>
                </wp:positionH>
                <wp:positionV relativeFrom="paragraph">
                  <wp:posOffset>157861</wp:posOffset>
                </wp:positionV>
                <wp:extent cx="5779135"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135" cy="9525"/>
                        </a:xfrm>
                        <a:custGeom>
                          <a:avLst/>
                          <a:gdLst/>
                          <a:ahLst/>
                          <a:cxnLst/>
                          <a:rect l="l" t="t" r="r" b="b"/>
                          <a:pathLst>
                            <a:path w="5779135" h="9525">
                              <a:moveTo>
                                <a:pt x="5779134" y="0"/>
                              </a:moveTo>
                              <a:lnTo>
                                <a:pt x="0" y="0"/>
                              </a:lnTo>
                              <a:lnTo>
                                <a:pt x="0" y="9525"/>
                              </a:lnTo>
                              <a:lnTo>
                                <a:pt x="5779134" y="9525"/>
                              </a:lnTo>
                              <a:lnTo>
                                <a:pt x="5779134"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0.599998pt;margin-top:12.43pt;width:455.05pt;height:.75pt;mso-position-horizontal-relative:page;mso-position-vertical-relative:paragraph;z-index:-15728640;mso-wrap-distance-left:0;mso-wrap-distance-right:0" id="docshape2" filled="true" fillcolor="#585858" stroked="false">
                <v:fill type="solid"/>
                <w10:wrap type="topAndBottom"/>
              </v:rect>
            </w:pict>
          </mc:Fallback>
        </mc:AlternateContent>
      </w:r>
      <w:r>
        <w:rPr>
          <w:color w:val="585858"/>
          <w:spacing w:val="-2"/>
          <w:sz w:val="18"/>
        </w:rPr>
        <w:t>DIVISION</w:t>
      </w:r>
      <w:r>
        <w:rPr>
          <w:color w:val="585858"/>
          <w:spacing w:val="13"/>
          <w:sz w:val="18"/>
        </w:rPr>
        <w:t xml:space="preserve"> </w:t>
      </w:r>
      <w:r>
        <w:rPr>
          <w:color w:val="585858"/>
          <w:spacing w:val="-2"/>
          <w:sz w:val="18"/>
        </w:rPr>
        <w:t>D’ANNULATION</w:t>
      </w:r>
    </w:p>
    <w:p w14:paraId="552728FA" w14:textId="77777777" w:rsidR="00E32F98" w:rsidRDefault="00E32F98">
      <w:pPr>
        <w:pStyle w:val="Corpsdetexte"/>
        <w:spacing w:before="231"/>
      </w:pPr>
    </w:p>
    <w:p w14:paraId="5A5BD8F5" w14:textId="77777777" w:rsidR="00E32F98" w:rsidRDefault="00000000">
      <w:pPr>
        <w:pStyle w:val="Titre2"/>
        <w:ind w:left="15" w:right="76" w:firstLine="0"/>
        <w:jc w:val="center"/>
      </w:pPr>
      <w:r>
        <w:t>Annulation</w:t>
      </w:r>
      <w:r>
        <w:rPr>
          <w:spacing w:val="14"/>
        </w:rPr>
        <w:t xml:space="preserve"> </w:t>
      </w:r>
      <w:r>
        <w:t>no</w:t>
      </w:r>
      <w:r>
        <w:rPr>
          <w:spacing w:val="-9"/>
        </w:rPr>
        <w:t xml:space="preserve"> </w:t>
      </w:r>
      <w:r>
        <w:t>C</w:t>
      </w:r>
      <w:r>
        <w:rPr>
          <w:spacing w:val="-15"/>
        </w:rPr>
        <w:t xml:space="preserve"> </w:t>
      </w:r>
      <w:r>
        <w:t>59</w:t>
      </w:r>
      <w:r>
        <w:rPr>
          <w:spacing w:val="4"/>
        </w:rPr>
        <w:t xml:space="preserve"> </w:t>
      </w:r>
      <w:r>
        <w:t>427</w:t>
      </w:r>
      <w:r>
        <w:rPr>
          <w:spacing w:val="-12"/>
        </w:rPr>
        <w:t xml:space="preserve"> </w:t>
      </w:r>
      <w:r>
        <w:rPr>
          <w:spacing w:val="-2"/>
        </w:rPr>
        <w:t>(INVALIDITY)</w:t>
      </w:r>
    </w:p>
    <w:p w14:paraId="109F1C8D" w14:textId="77777777" w:rsidR="00E32F98" w:rsidRDefault="00E32F98">
      <w:pPr>
        <w:pStyle w:val="Corpsdetexte"/>
        <w:spacing w:before="4"/>
        <w:rPr>
          <w:rFonts w:ascii="Arial"/>
          <w:b/>
        </w:rPr>
      </w:pPr>
    </w:p>
    <w:p w14:paraId="43171621" w14:textId="77777777" w:rsidR="00E32F98" w:rsidRDefault="00000000">
      <w:pPr>
        <w:spacing w:line="242" w:lineRule="auto"/>
        <w:ind w:left="166" w:right="162"/>
        <w:jc w:val="both"/>
      </w:pPr>
      <w:r>
        <w:rPr>
          <w:rFonts w:ascii="Arial" w:hAnsi="Arial"/>
          <w:b/>
        </w:rPr>
        <w:t>Moncler S.P.A.</w:t>
      </w:r>
      <w:r>
        <w:t xml:space="preserve">, Via Stendhal, 47, 20144 Milano (Italie), représentée par </w:t>
      </w:r>
      <w:r>
        <w:rPr>
          <w:rFonts w:ascii="Arial" w:hAnsi="Arial"/>
          <w:b/>
        </w:rPr>
        <w:t>Gianluca de Cristofaro</w:t>
      </w:r>
      <w:r>
        <w:t>,</w:t>
      </w:r>
      <w:r>
        <w:rPr>
          <w:spacing w:val="-19"/>
        </w:rPr>
        <w:t xml:space="preserve"> </w:t>
      </w:r>
      <w:r>
        <w:t>Via della Moscova, 18,</w:t>
      </w:r>
      <w:r>
        <w:rPr>
          <w:spacing w:val="-3"/>
        </w:rPr>
        <w:t xml:space="preserve"> </w:t>
      </w:r>
      <w:r>
        <w:t>20121 Milano (MI), Italie (mandataire agréé)</w:t>
      </w:r>
    </w:p>
    <w:p w14:paraId="67B8BFB6" w14:textId="77777777" w:rsidR="00E32F98" w:rsidRDefault="00E32F98">
      <w:pPr>
        <w:pStyle w:val="Corpsdetexte"/>
        <w:spacing w:before="2"/>
      </w:pPr>
    </w:p>
    <w:p w14:paraId="359F8D26" w14:textId="77777777" w:rsidR="00E32F98" w:rsidRDefault="00000000">
      <w:pPr>
        <w:pStyle w:val="Corpsdetexte"/>
        <w:ind w:left="76" w:right="61"/>
        <w:jc w:val="center"/>
      </w:pPr>
      <w:r>
        <w:t>un</w:t>
      </w:r>
      <w:r>
        <w:rPr>
          <w:spacing w:val="-7"/>
        </w:rPr>
        <w:t xml:space="preserve"> </w:t>
      </w:r>
      <w:r>
        <w:t>g</w:t>
      </w:r>
      <w:r>
        <w:rPr>
          <w:spacing w:val="9"/>
        </w:rPr>
        <w:t xml:space="preserve"> </w:t>
      </w:r>
      <w:r>
        <w:t>a</w:t>
      </w:r>
      <w:r>
        <w:rPr>
          <w:spacing w:val="-6"/>
        </w:rPr>
        <w:t xml:space="preserve"> </w:t>
      </w:r>
      <w:r>
        <w:t>i</w:t>
      </w:r>
      <w:r>
        <w:rPr>
          <w:spacing w:val="-7"/>
        </w:rPr>
        <w:t xml:space="preserve"> </w:t>
      </w:r>
      <w:r>
        <w:t>ns</w:t>
      </w:r>
      <w:r>
        <w:rPr>
          <w:spacing w:val="7"/>
        </w:rPr>
        <w:t xml:space="preserve"> </w:t>
      </w:r>
      <w:r>
        <w:rPr>
          <w:spacing w:val="-10"/>
        </w:rPr>
        <w:t>t</w:t>
      </w:r>
    </w:p>
    <w:p w14:paraId="44F6B116" w14:textId="77777777" w:rsidR="00E32F98" w:rsidRDefault="00000000">
      <w:pPr>
        <w:spacing w:before="242" w:line="242" w:lineRule="auto"/>
        <w:ind w:left="166" w:right="149"/>
        <w:jc w:val="both"/>
      </w:pPr>
      <w:r>
        <w:rPr>
          <w:rFonts w:ascii="Arial" w:hAnsi="Arial"/>
          <w:b/>
        </w:rPr>
        <w:t>Ridestore Holding AB</w:t>
      </w:r>
      <w:r>
        <w:t>, c/o Ridestore AB Frihamnen 16A,</w:t>
      </w:r>
      <w:r>
        <w:rPr>
          <w:spacing w:val="-8"/>
        </w:rPr>
        <w:t xml:space="preserve"> </w:t>
      </w:r>
      <w:r>
        <w:t>417</w:t>
      </w:r>
      <w:r>
        <w:rPr>
          <w:spacing w:val="-3"/>
        </w:rPr>
        <w:t xml:space="preserve"> </w:t>
      </w:r>
      <w:r>
        <w:t>55</w:t>
      </w:r>
      <w:r>
        <w:rPr>
          <w:spacing w:val="-10"/>
        </w:rPr>
        <w:t xml:space="preserve"> </w:t>
      </w:r>
      <w:r>
        <w:t>Göteborg,</w:t>
      </w:r>
      <w:r>
        <w:rPr>
          <w:spacing w:val="-8"/>
        </w:rPr>
        <w:t xml:space="preserve"> </w:t>
      </w:r>
      <w:r>
        <w:t>Suède</w:t>
      </w:r>
      <w:r>
        <w:rPr>
          <w:spacing w:val="-10"/>
        </w:rPr>
        <w:t xml:space="preserve"> </w:t>
      </w:r>
      <w:r>
        <w:t xml:space="preserve">(titulaire de la MUE), représentée </w:t>
      </w:r>
      <w:r>
        <w:rPr>
          <w:rFonts w:ascii="Arial" w:hAnsi="Arial"/>
          <w:b/>
        </w:rPr>
        <w:t>par MAQS Advokatbyrrente AB</w:t>
      </w:r>
      <w:r>
        <w:t>, Östra Hamngatan 24, 404</w:t>
      </w:r>
      <w:r>
        <w:rPr>
          <w:spacing w:val="-6"/>
        </w:rPr>
        <w:t xml:space="preserve"> </w:t>
      </w:r>
      <w:r>
        <w:t>39 Göteborg, Suède (représentant professionnel).</w:t>
      </w:r>
    </w:p>
    <w:p w14:paraId="46F4815E" w14:textId="77777777" w:rsidR="00E32F98" w:rsidRDefault="00E32F98">
      <w:pPr>
        <w:pStyle w:val="Corpsdetexte"/>
        <w:spacing w:before="2"/>
      </w:pPr>
    </w:p>
    <w:p w14:paraId="2D13CDF7" w14:textId="77777777" w:rsidR="00E32F98" w:rsidRDefault="00000000">
      <w:pPr>
        <w:pStyle w:val="Corpsdetexte"/>
        <w:ind w:left="166"/>
        <w:jc w:val="both"/>
      </w:pPr>
      <w:r>
        <w:t>Le</w:t>
      </w:r>
      <w:r>
        <w:rPr>
          <w:spacing w:val="-16"/>
        </w:rPr>
        <w:t xml:space="preserve"> </w:t>
      </w:r>
      <w:r>
        <w:t>12/09/2024,</w:t>
      </w:r>
      <w:r>
        <w:rPr>
          <w:spacing w:val="6"/>
        </w:rPr>
        <w:t xml:space="preserve"> </w:t>
      </w:r>
      <w:r>
        <w:t>la</w:t>
      </w:r>
      <w:r>
        <w:rPr>
          <w:spacing w:val="-15"/>
        </w:rPr>
        <w:t xml:space="preserve"> </w:t>
      </w:r>
      <w:r>
        <w:t>division</w:t>
      </w:r>
      <w:r>
        <w:rPr>
          <w:spacing w:val="8"/>
        </w:rPr>
        <w:t xml:space="preserve"> </w:t>
      </w:r>
      <w:r>
        <w:t>d’annulation</w:t>
      </w:r>
      <w:r>
        <w:rPr>
          <w:spacing w:val="7"/>
        </w:rPr>
        <w:t xml:space="preserve"> </w:t>
      </w:r>
      <w:r>
        <w:t>rend</w:t>
      </w:r>
      <w:r>
        <w:rPr>
          <w:spacing w:val="-15"/>
        </w:rPr>
        <w:t xml:space="preserve"> </w:t>
      </w:r>
      <w:r>
        <w:t>la</w:t>
      </w:r>
      <w:r>
        <w:rPr>
          <w:spacing w:val="-4"/>
        </w:rPr>
        <w:t xml:space="preserve"> </w:t>
      </w:r>
      <w:r>
        <w:rPr>
          <w:spacing w:val="-2"/>
        </w:rPr>
        <w:t>présente</w:t>
      </w:r>
    </w:p>
    <w:p w14:paraId="6BD135E6" w14:textId="77777777" w:rsidR="00E32F98" w:rsidRDefault="00E32F98">
      <w:pPr>
        <w:pStyle w:val="Corpsdetexte"/>
        <w:spacing w:before="245"/>
      </w:pPr>
    </w:p>
    <w:p w14:paraId="540DA919" w14:textId="77777777" w:rsidR="00E32F98" w:rsidRDefault="00000000">
      <w:pPr>
        <w:pStyle w:val="Titre1"/>
        <w:ind w:left="58" w:right="61"/>
      </w:pPr>
      <w:r>
        <w:rPr>
          <w:spacing w:val="-2"/>
        </w:rPr>
        <w:t>DÉCISION</w:t>
      </w:r>
    </w:p>
    <w:p w14:paraId="2B1CF754" w14:textId="77777777" w:rsidR="00E32F98" w:rsidRDefault="00E32F98">
      <w:pPr>
        <w:pStyle w:val="Corpsdetexte"/>
        <w:spacing w:before="44" w:after="1"/>
        <w:rPr>
          <w:rFonts w:ascii="Arial"/>
          <w:b/>
          <w:sz w:val="20"/>
        </w:rPr>
      </w:pPr>
    </w:p>
    <w:tbl>
      <w:tblPr>
        <w:tblStyle w:val="TableNormal"/>
        <w:tblW w:w="0" w:type="auto"/>
        <w:tblInd w:w="124" w:type="dxa"/>
        <w:tblLayout w:type="fixed"/>
        <w:tblLook w:val="01E0" w:firstRow="1" w:lastRow="1" w:firstColumn="1" w:lastColumn="1" w:noHBand="0" w:noVBand="0"/>
      </w:tblPr>
      <w:tblGrid>
        <w:gridCol w:w="379"/>
        <w:gridCol w:w="5466"/>
      </w:tblGrid>
      <w:tr w:rsidR="00E32F98" w14:paraId="0B66FF5F" w14:textId="77777777">
        <w:trPr>
          <w:trHeight w:val="251"/>
        </w:trPr>
        <w:tc>
          <w:tcPr>
            <w:tcW w:w="379" w:type="dxa"/>
          </w:tcPr>
          <w:p w14:paraId="114923CA" w14:textId="77777777" w:rsidR="00E32F98" w:rsidRDefault="00000000">
            <w:pPr>
              <w:pStyle w:val="TableParagraph"/>
              <w:spacing w:line="231" w:lineRule="exact"/>
              <w:ind w:left="50"/>
              <w:rPr>
                <w:rFonts w:ascii="Arial"/>
                <w:b/>
              </w:rPr>
            </w:pPr>
            <w:r>
              <w:rPr>
                <w:rFonts w:ascii="Arial"/>
                <w:b/>
                <w:spacing w:val="-5"/>
              </w:rPr>
              <w:t>1.</w:t>
            </w:r>
          </w:p>
        </w:tc>
        <w:tc>
          <w:tcPr>
            <w:tcW w:w="5466" w:type="dxa"/>
          </w:tcPr>
          <w:p w14:paraId="3DEEC0CB" w14:textId="77777777" w:rsidR="00E32F98" w:rsidRDefault="00000000">
            <w:pPr>
              <w:pStyle w:val="TableParagraph"/>
              <w:spacing w:line="231" w:lineRule="exact"/>
              <w:ind w:left="151"/>
            </w:pPr>
            <w:r>
              <w:t>La</w:t>
            </w:r>
            <w:r>
              <w:rPr>
                <w:spacing w:val="-11"/>
              </w:rPr>
              <w:t xml:space="preserve"> </w:t>
            </w:r>
            <w:r>
              <w:t>demande</w:t>
            </w:r>
            <w:r>
              <w:rPr>
                <w:spacing w:val="4"/>
              </w:rPr>
              <w:t xml:space="preserve"> </w:t>
            </w:r>
            <w:r>
              <w:t>en</w:t>
            </w:r>
            <w:r>
              <w:rPr>
                <w:spacing w:val="-11"/>
              </w:rPr>
              <w:t xml:space="preserve"> </w:t>
            </w:r>
            <w:r>
              <w:t>nullité</w:t>
            </w:r>
            <w:r>
              <w:rPr>
                <w:spacing w:val="4"/>
              </w:rPr>
              <w:t xml:space="preserve"> </w:t>
            </w:r>
            <w:r>
              <w:t>est</w:t>
            </w:r>
            <w:r>
              <w:rPr>
                <w:spacing w:val="-8"/>
              </w:rPr>
              <w:t xml:space="preserve"> </w:t>
            </w:r>
            <w:r>
              <w:t>rejetée</w:t>
            </w:r>
            <w:r>
              <w:rPr>
                <w:spacing w:val="4"/>
              </w:rPr>
              <w:t xml:space="preserve"> </w:t>
            </w:r>
            <w:r>
              <w:t>dans</w:t>
            </w:r>
            <w:r>
              <w:rPr>
                <w:spacing w:val="2"/>
              </w:rPr>
              <w:t xml:space="preserve"> </w:t>
            </w:r>
            <w:r>
              <w:t>son</w:t>
            </w:r>
            <w:r>
              <w:rPr>
                <w:spacing w:val="-11"/>
              </w:rPr>
              <w:t xml:space="preserve"> </w:t>
            </w:r>
            <w:r>
              <w:rPr>
                <w:spacing w:val="-2"/>
              </w:rPr>
              <w:t>intégralité.</w:t>
            </w:r>
          </w:p>
        </w:tc>
      </w:tr>
    </w:tbl>
    <w:p w14:paraId="095F87E7" w14:textId="77777777" w:rsidR="00E32F98" w:rsidRDefault="00E32F98">
      <w:pPr>
        <w:pStyle w:val="Corpsdetexte"/>
        <w:spacing w:before="59"/>
        <w:rPr>
          <w:rFonts w:ascii="Arial"/>
          <w:b/>
          <w:sz w:val="20"/>
        </w:rPr>
      </w:pPr>
    </w:p>
    <w:tbl>
      <w:tblPr>
        <w:tblStyle w:val="TableNormal"/>
        <w:tblW w:w="0" w:type="auto"/>
        <w:tblInd w:w="124" w:type="dxa"/>
        <w:tblLayout w:type="fixed"/>
        <w:tblLook w:val="01E0" w:firstRow="1" w:lastRow="1" w:firstColumn="1" w:lastColumn="1" w:noHBand="0" w:noVBand="0"/>
      </w:tblPr>
      <w:tblGrid>
        <w:gridCol w:w="379"/>
        <w:gridCol w:w="5475"/>
      </w:tblGrid>
      <w:tr w:rsidR="00E32F98" w14:paraId="4A496488" w14:textId="77777777">
        <w:trPr>
          <w:trHeight w:val="251"/>
        </w:trPr>
        <w:tc>
          <w:tcPr>
            <w:tcW w:w="379" w:type="dxa"/>
          </w:tcPr>
          <w:p w14:paraId="30ED58B9" w14:textId="77777777" w:rsidR="00E32F98" w:rsidRDefault="00000000">
            <w:pPr>
              <w:pStyle w:val="TableParagraph"/>
              <w:spacing w:line="231" w:lineRule="exact"/>
              <w:ind w:left="50"/>
              <w:rPr>
                <w:rFonts w:ascii="Arial"/>
                <w:b/>
              </w:rPr>
            </w:pPr>
            <w:r>
              <w:rPr>
                <w:rFonts w:ascii="Arial"/>
                <w:b/>
                <w:spacing w:val="-5"/>
              </w:rPr>
              <w:t>2.</w:t>
            </w:r>
          </w:p>
        </w:tc>
        <w:tc>
          <w:tcPr>
            <w:tcW w:w="5475" w:type="dxa"/>
          </w:tcPr>
          <w:p w14:paraId="1C7186B4" w14:textId="77777777" w:rsidR="00E32F98" w:rsidRDefault="00000000">
            <w:pPr>
              <w:pStyle w:val="TableParagraph"/>
              <w:spacing w:line="231" w:lineRule="exact"/>
              <w:ind w:left="151"/>
            </w:pPr>
            <w:r>
              <w:t>La</w:t>
            </w:r>
            <w:r>
              <w:rPr>
                <w:spacing w:val="-10"/>
              </w:rPr>
              <w:t xml:space="preserve"> </w:t>
            </w:r>
            <w:r>
              <w:t>demanderesse</w:t>
            </w:r>
            <w:r>
              <w:rPr>
                <w:spacing w:val="-9"/>
              </w:rPr>
              <w:t xml:space="preserve"> </w:t>
            </w:r>
            <w:r>
              <w:t>supporte</w:t>
            </w:r>
            <w:r>
              <w:rPr>
                <w:spacing w:val="-9"/>
              </w:rPr>
              <w:t xml:space="preserve"> </w:t>
            </w:r>
            <w:r>
              <w:t>les</w:t>
            </w:r>
            <w:r>
              <w:rPr>
                <w:spacing w:val="4"/>
              </w:rPr>
              <w:t xml:space="preserve"> </w:t>
            </w:r>
            <w:r>
              <w:t>frais,</w:t>
            </w:r>
            <w:r>
              <w:rPr>
                <w:spacing w:val="-19"/>
              </w:rPr>
              <w:t xml:space="preserve"> </w:t>
            </w:r>
            <w:r>
              <w:t>fixés</w:t>
            </w:r>
            <w:r>
              <w:rPr>
                <w:spacing w:val="18"/>
              </w:rPr>
              <w:t xml:space="preserve"> </w:t>
            </w:r>
            <w:r>
              <w:t>à</w:t>
            </w:r>
            <w:r>
              <w:rPr>
                <w:spacing w:val="-9"/>
              </w:rPr>
              <w:t xml:space="preserve"> </w:t>
            </w:r>
            <w:r>
              <w:t>450</w:t>
            </w:r>
            <w:r>
              <w:rPr>
                <w:spacing w:val="1"/>
              </w:rPr>
              <w:t xml:space="preserve"> </w:t>
            </w:r>
            <w:r>
              <w:rPr>
                <w:spacing w:val="-4"/>
              </w:rPr>
              <w:t>EUR.</w:t>
            </w:r>
          </w:p>
        </w:tc>
      </w:tr>
    </w:tbl>
    <w:p w14:paraId="7CA297A2" w14:textId="77777777" w:rsidR="00E32F98" w:rsidRDefault="00E32F98">
      <w:pPr>
        <w:pStyle w:val="Corpsdetexte"/>
        <w:rPr>
          <w:rFonts w:ascii="Arial"/>
          <w:b/>
        </w:rPr>
      </w:pPr>
    </w:p>
    <w:p w14:paraId="04A02714" w14:textId="77777777" w:rsidR="00E32F98" w:rsidRDefault="00E32F98">
      <w:pPr>
        <w:pStyle w:val="Corpsdetexte"/>
        <w:spacing w:before="6"/>
        <w:rPr>
          <w:rFonts w:ascii="Arial"/>
          <w:b/>
        </w:rPr>
      </w:pPr>
    </w:p>
    <w:p w14:paraId="0F07DC3F" w14:textId="77777777" w:rsidR="00E32F98" w:rsidRDefault="00000000">
      <w:pPr>
        <w:ind w:left="75" w:right="61"/>
        <w:jc w:val="center"/>
        <w:rPr>
          <w:rFonts w:ascii="Arial"/>
          <w:b/>
        </w:rPr>
      </w:pPr>
      <w:r>
        <w:rPr>
          <w:rFonts w:ascii="Arial"/>
          <w:b/>
          <w:spacing w:val="-2"/>
        </w:rPr>
        <w:t>MOTIFS</w:t>
      </w:r>
    </w:p>
    <w:p w14:paraId="3B991648" w14:textId="77777777" w:rsidR="00E32F98" w:rsidRDefault="00E32F98">
      <w:pPr>
        <w:pStyle w:val="Corpsdetexte"/>
        <w:spacing w:before="4"/>
        <w:rPr>
          <w:rFonts w:ascii="Arial"/>
          <w:b/>
        </w:rPr>
      </w:pPr>
    </w:p>
    <w:p w14:paraId="7AF8A73D" w14:textId="77777777" w:rsidR="00E32F98" w:rsidRDefault="00000000">
      <w:pPr>
        <w:pStyle w:val="Corpsdetexte"/>
        <w:spacing w:before="1" w:line="242" w:lineRule="auto"/>
        <w:ind w:left="166" w:right="146"/>
        <w:jc w:val="both"/>
      </w:pPr>
      <w:r>
        <w:t>Le 31/03/2023, la demanderesse a déposé une demande en nullité à l’encontre de la</w:t>
      </w:r>
      <w:r>
        <w:rPr>
          <w:spacing w:val="40"/>
        </w:rPr>
        <w:t xml:space="preserve"> </w:t>
      </w:r>
      <w:r>
        <w:t>marque</w:t>
      </w:r>
      <w:r>
        <w:rPr>
          <w:spacing w:val="44"/>
        </w:rPr>
        <w:t xml:space="preserve"> </w:t>
      </w:r>
      <w:r>
        <w:t>de</w:t>
      </w:r>
      <w:r>
        <w:rPr>
          <w:spacing w:val="45"/>
        </w:rPr>
        <w:t xml:space="preserve"> </w:t>
      </w:r>
      <w:r>
        <w:t>l’Union</w:t>
      </w:r>
      <w:r>
        <w:rPr>
          <w:spacing w:val="45"/>
        </w:rPr>
        <w:t xml:space="preserve"> </w:t>
      </w:r>
      <w:r>
        <w:t>européenne</w:t>
      </w:r>
      <w:r>
        <w:rPr>
          <w:spacing w:val="31"/>
        </w:rPr>
        <w:t xml:space="preserve"> </w:t>
      </w:r>
      <w:r>
        <w:t>no</w:t>
      </w:r>
      <w:r>
        <w:rPr>
          <w:spacing w:val="31"/>
        </w:rPr>
        <w:t xml:space="preserve"> </w:t>
      </w:r>
      <w:r>
        <w:t>18</w:t>
      </w:r>
      <w:r>
        <w:rPr>
          <w:spacing w:val="-4"/>
        </w:rPr>
        <w:t xml:space="preserve"> </w:t>
      </w:r>
      <w:r>
        <w:t>431</w:t>
      </w:r>
      <w:r>
        <w:rPr>
          <w:spacing w:val="-10"/>
        </w:rPr>
        <w:t xml:space="preserve"> </w:t>
      </w:r>
      <w:r>
        <w:t>283</w:t>
      </w:r>
      <w:r>
        <w:rPr>
          <w:spacing w:val="31"/>
        </w:rPr>
        <w:t xml:space="preserve"> </w:t>
      </w:r>
      <w:r>
        <w:t>«MONTEC»</w:t>
      </w:r>
      <w:r>
        <w:rPr>
          <w:spacing w:val="31"/>
        </w:rPr>
        <w:t xml:space="preserve"> </w:t>
      </w:r>
      <w:r>
        <w:t>(marque</w:t>
      </w:r>
      <w:r>
        <w:rPr>
          <w:spacing w:val="30"/>
        </w:rPr>
        <w:t xml:space="preserve"> </w:t>
      </w:r>
      <w:r>
        <w:t>verbale)</w:t>
      </w:r>
      <w:r>
        <w:rPr>
          <w:spacing w:val="36"/>
        </w:rPr>
        <w:t xml:space="preserve"> </w:t>
      </w:r>
      <w:r>
        <w:t>(ci-après</w:t>
      </w:r>
      <w:r>
        <w:rPr>
          <w:spacing w:val="42"/>
        </w:rPr>
        <w:t xml:space="preserve"> </w:t>
      </w:r>
      <w:r>
        <w:rPr>
          <w:spacing w:val="-5"/>
        </w:rPr>
        <w:t>la</w:t>
      </w:r>
    </w:p>
    <w:p w14:paraId="3034BC42" w14:textId="77777777" w:rsidR="00E32F98" w:rsidRDefault="00000000">
      <w:pPr>
        <w:pStyle w:val="Corpsdetexte"/>
        <w:spacing w:line="242" w:lineRule="auto"/>
        <w:ind w:left="166" w:right="150"/>
        <w:jc w:val="both"/>
      </w:pPr>
      <w:r>
        <w:t>«MUE»). La demande est dirigée contre tous les produits désignés par</w:t>
      </w:r>
      <w:r>
        <w:rPr>
          <w:spacing w:val="-7"/>
        </w:rPr>
        <w:t xml:space="preserve"> </w:t>
      </w:r>
      <w:r>
        <w:t>la</w:t>
      </w:r>
      <w:r>
        <w:rPr>
          <w:spacing w:val="-11"/>
        </w:rPr>
        <w:t xml:space="preserve"> </w:t>
      </w:r>
      <w:r>
        <w:t>marque</w:t>
      </w:r>
      <w:r>
        <w:rPr>
          <w:spacing w:val="-11"/>
        </w:rPr>
        <w:t xml:space="preserve"> </w:t>
      </w:r>
      <w:r>
        <w:t>de</w:t>
      </w:r>
      <w:r>
        <w:rPr>
          <w:spacing w:val="-11"/>
        </w:rPr>
        <w:t xml:space="preserve"> </w:t>
      </w:r>
      <w:r>
        <w:t>l’Union européenne.</w:t>
      </w:r>
      <w:r>
        <w:rPr>
          <w:spacing w:val="80"/>
        </w:rPr>
        <w:t xml:space="preserve"> </w:t>
      </w:r>
      <w:r>
        <w:t>La</w:t>
      </w:r>
      <w:r>
        <w:rPr>
          <w:spacing w:val="80"/>
        </w:rPr>
        <w:t xml:space="preserve"> </w:t>
      </w:r>
      <w:r>
        <w:t>demande</w:t>
      </w:r>
      <w:r>
        <w:rPr>
          <w:spacing w:val="80"/>
        </w:rPr>
        <w:t xml:space="preserve"> </w:t>
      </w:r>
      <w:r>
        <w:t>est</w:t>
      </w:r>
      <w:r>
        <w:rPr>
          <w:spacing w:val="80"/>
        </w:rPr>
        <w:t xml:space="preserve"> </w:t>
      </w:r>
      <w:r>
        <w:t>fondée</w:t>
      </w:r>
      <w:r>
        <w:rPr>
          <w:spacing w:val="80"/>
        </w:rPr>
        <w:t xml:space="preserve"> </w:t>
      </w:r>
      <w:r>
        <w:t>sur</w:t>
      </w:r>
      <w:r>
        <w:rPr>
          <w:spacing w:val="80"/>
        </w:rPr>
        <w:t xml:space="preserve"> </w:t>
      </w:r>
      <w:r>
        <w:t>l’enregistrement</w:t>
      </w:r>
      <w:r>
        <w:rPr>
          <w:spacing w:val="80"/>
        </w:rPr>
        <w:t xml:space="preserve"> </w:t>
      </w:r>
      <w:r>
        <w:t>de</w:t>
      </w:r>
      <w:r>
        <w:rPr>
          <w:spacing w:val="77"/>
        </w:rPr>
        <w:t xml:space="preserve"> </w:t>
      </w:r>
      <w:r>
        <w:t>la</w:t>
      </w:r>
      <w:r>
        <w:rPr>
          <w:spacing w:val="77"/>
        </w:rPr>
        <w:t xml:space="preserve"> </w:t>
      </w:r>
      <w:r>
        <w:t>MUE</w:t>
      </w:r>
      <w:r>
        <w:rPr>
          <w:spacing w:val="80"/>
        </w:rPr>
        <w:t xml:space="preserve"> </w:t>
      </w:r>
      <w:r>
        <w:t>no</w:t>
      </w:r>
      <w:r>
        <w:rPr>
          <w:spacing w:val="77"/>
        </w:rPr>
        <w:t xml:space="preserve"> </w:t>
      </w:r>
      <w:r>
        <w:t>5 796</w:t>
      </w:r>
      <w:r>
        <w:rPr>
          <w:spacing w:val="-9"/>
        </w:rPr>
        <w:t xml:space="preserve"> </w:t>
      </w:r>
      <w:r>
        <w:t>594</w:t>
      </w:r>
    </w:p>
    <w:p w14:paraId="7226F56F" w14:textId="77777777" w:rsidR="00E32F98" w:rsidRDefault="00000000">
      <w:pPr>
        <w:pStyle w:val="Corpsdetexte"/>
        <w:spacing w:before="3" w:line="235" w:lineRule="auto"/>
        <w:ind w:left="166" w:right="147"/>
        <w:jc w:val="both"/>
      </w:pPr>
      <w:r>
        <w:t>«Moncler»</w:t>
      </w:r>
      <w:r>
        <w:rPr>
          <w:spacing w:val="80"/>
        </w:rPr>
        <w:t xml:space="preserve"> </w:t>
      </w:r>
      <w:r>
        <w:t>(marque</w:t>
      </w:r>
      <w:r>
        <w:rPr>
          <w:spacing w:val="80"/>
        </w:rPr>
        <w:t xml:space="preserve"> </w:t>
      </w:r>
      <w:r>
        <w:t>verbale).</w:t>
      </w:r>
      <w:r>
        <w:rPr>
          <w:spacing w:val="80"/>
        </w:rPr>
        <w:t xml:space="preserve"> </w:t>
      </w:r>
      <w:r>
        <w:t>La</w:t>
      </w:r>
      <w:r>
        <w:rPr>
          <w:spacing w:val="80"/>
        </w:rPr>
        <w:t xml:space="preserve"> </w:t>
      </w:r>
      <w:r>
        <w:t>demanderesse</w:t>
      </w:r>
      <w:r>
        <w:rPr>
          <w:spacing w:val="80"/>
        </w:rPr>
        <w:t xml:space="preserve"> </w:t>
      </w:r>
      <w:r>
        <w:t>a</w:t>
      </w:r>
      <w:r>
        <w:rPr>
          <w:spacing w:val="40"/>
        </w:rPr>
        <w:t xml:space="preserve"> </w:t>
      </w:r>
      <w:r>
        <w:t>invoqué</w:t>
      </w:r>
      <w:r>
        <w:rPr>
          <w:spacing w:val="40"/>
        </w:rPr>
        <w:t xml:space="preserve"> </w:t>
      </w:r>
      <w:r>
        <w:t>l’article 60,</w:t>
      </w:r>
      <w:r>
        <w:rPr>
          <w:spacing w:val="40"/>
        </w:rPr>
        <w:t xml:space="preserve"> </w:t>
      </w:r>
      <w:r>
        <w:t>paragraphe</w:t>
      </w:r>
      <w:r>
        <w:rPr>
          <w:spacing w:val="-7"/>
        </w:rPr>
        <w:t xml:space="preserve"> </w:t>
      </w:r>
      <w:r>
        <w:t>1, point</w:t>
      </w:r>
      <w:r>
        <w:rPr>
          <w:spacing w:val="-9"/>
        </w:rPr>
        <w:t xml:space="preserve"> </w:t>
      </w:r>
      <w:r>
        <w:t>a), du RMUE, lu conjointement avec</w:t>
      </w:r>
      <w:r>
        <w:rPr>
          <w:spacing w:val="28"/>
        </w:rPr>
        <w:t xml:space="preserve"> </w:t>
      </w:r>
      <w:r>
        <w:t>l’article</w:t>
      </w:r>
      <w:r>
        <w:rPr>
          <w:spacing w:val="-3"/>
        </w:rPr>
        <w:t xml:space="preserve"> </w:t>
      </w:r>
      <w:r>
        <w:t>8, paragraphe</w:t>
      </w:r>
      <w:r>
        <w:rPr>
          <w:spacing w:val="-9"/>
        </w:rPr>
        <w:t xml:space="preserve"> </w:t>
      </w:r>
      <w:r>
        <w:t>1, point</w:t>
      </w:r>
      <w:r>
        <w:rPr>
          <w:spacing w:val="-8"/>
        </w:rPr>
        <w:t xml:space="preserve"> </w:t>
      </w:r>
      <w:r>
        <w:t>b), et l’article 8 (5) du RMUE.</w:t>
      </w:r>
    </w:p>
    <w:p w14:paraId="5BA28BC6" w14:textId="77777777" w:rsidR="00E32F98" w:rsidRDefault="00E32F98">
      <w:pPr>
        <w:pStyle w:val="Corpsdetexte"/>
      </w:pPr>
    </w:p>
    <w:p w14:paraId="05D90CDD" w14:textId="77777777" w:rsidR="00E32F98" w:rsidRDefault="00E32F98">
      <w:pPr>
        <w:pStyle w:val="Corpsdetexte"/>
        <w:spacing w:before="7"/>
      </w:pPr>
    </w:p>
    <w:p w14:paraId="72CF3D45" w14:textId="77777777" w:rsidR="00E32F98" w:rsidRDefault="00000000">
      <w:pPr>
        <w:pStyle w:val="Titre1"/>
        <w:jc w:val="both"/>
      </w:pPr>
      <w:r>
        <w:t>RÉSUMÉ</w:t>
      </w:r>
      <w:r>
        <w:rPr>
          <w:spacing w:val="3"/>
        </w:rPr>
        <w:t xml:space="preserve"> </w:t>
      </w:r>
      <w:r>
        <w:t>DES</w:t>
      </w:r>
      <w:r>
        <w:rPr>
          <w:spacing w:val="3"/>
        </w:rPr>
        <w:t xml:space="preserve"> </w:t>
      </w:r>
      <w:r>
        <w:t>ARGUMENTS</w:t>
      </w:r>
      <w:r>
        <w:rPr>
          <w:spacing w:val="3"/>
        </w:rPr>
        <w:t xml:space="preserve"> </w:t>
      </w:r>
      <w:r>
        <w:t>DES</w:t>
      </w:r>
      <w:r>
        <w:rPr>
          <w:spacing w:val="4"/>
        </w:rPr>
        <w:t xml:space="preserve"> </w:t>
      </w:r>
      <w:r>
        <w:rPr>
          <w:spacing w:val="-2"/>
        </w:rPr>
        <w:t>PARTIES</w:t>
      </w:r>
    </w:p>
    <w:p w14:paraId="136E68BF" w14:textId="77777777" w:rsidR="00E32F98" w:rsidRDefault="00E32F98">
      <w:pPr>
        <w:pStyle w:val="Corpsdetexte"/>
        <w:spacing w:before="4"/>
        <w:rPr>
          <w:rFonts w:ascii="Arial"/>
          <w:b/>
        </w:rPr>
      </w:pPr>
    </w:p>
    <w:p w14:paraId="0DB5116D" w14:textId="77777777" w:rsidR="00E32F98" w:rsidRDefault="00000000">
      <w:pPr>
        <w:pStyle w:val="Corpsdetexte"/>
        <w:ind w:left="166" w:right="148"/>
        <w:jc w:val="both"/>
        <w:rPr>
          <w:rFonts w:ascii="Arial" w:hAnsi="Arial"/>
          <w:b/>
        </w:rPr>
      </w:pPr>
      <w:r>
        <w:rPr>
          <w:rFonts w:ascii="Arial" w:hAnsi="Arial"/>
          <w:b/>
          <w:u w:val="thick"/>
        </w:rPr>
        <w:t>La requérante</w:t>
      </w:r>
      <w:r>
        <w:rPr>
          <w:rFonts w:ascii="Arial" w:hAnsi="Arial"/>
          <w:b/>
          <w:spacing w:val="24"/>
        </w:rPr>
        <w:t xml:space="preserve"> </w:t>
      </w:r>
      <w:r>
        <w:t>fait valoir qu’elle est l’une</w:t>
      </w:r>
      <w:r>
        <w:rPr>
          <w:spacing w:val="-9"/>
        </w:rPr>
        <w:t xml:space="preserve"> </w:t>
      </w:r>
      <w:r>
        <w:t>des sociétés les plus connues dans le</w:t>
      </w:r>
      <w:r>
        <w:rPr>
          <w:spacing w:val="-9"/>
        </w:rPr>
        <w:t xml:space="preserve"> </w:t>
      </w:r>
      <w:r>
        <w:t>domaine</w:t>
      </w:r>
      <w:r>
        <w:rPr>
          <w:spacing w:val="-9"/>
        </w:rPr>
        <w:t xml:space="preserve"> </w:t>
      </w:r>
      <w:r>
        <w:t>de la mode, ayant été créée en 1952 par René Ramillon et Andrè Vincent à Monestier-de- Clermont, ville alpine</w:t>
      </w:r>
      <w:r>
        <w:rPr>
          <w:spacing w:val="-7"/>
        </w:rPr>
        <w:t xml:space="preserve"> </w:t>
      </w:r>
      <w:r>
        <w:t>en</w:t>
      </w:r>
      <w:r>
        <w:rPr>
          <w:spacing w:val="-7"/>
        </w:rPr>
        <w:t xml:space="preserve"> </w:t>
      </w:r>
      <w:r>
        <w:t>France,</w:t>
      </w:r>
      <w:r>
        <w:rPr>
          <w:spacing w:val="-4"/>
        </w:rPr>
        <w:t xml:space="preserve"> </w:t>
      </w:r>
      <w:r>
        <w:t>et conçue</w:t>
      </w:r>
      <w:r>
        <w:rPr>
          <w:spacing w:val="-7"/>
        </w:rPr>
        <w:t xml:space="preserve"> </w:t>
      </w:r>
      <w:r>
        <w:t>comme</w:t>
      </w:r>
      <w:r>
        <w:rPr>
          <w:spacing w:val="-7"/>
        </w:rPr>
        <w:t xml:space="preserve"> </w:t>
      </w:r>
      <w:r>
        <w:t>des vêtements de</w:t>
      </w:r>
      <w:r>
        <w:rPr>
          <w:spacing w:val="-7"/>
        </w:rPr>
        <w:t xml:space="preserve"> </w:t>
      </w:r>
      <w:r>
        <w:t>sport</w:t>
      </w:r>
      <w:r>
        <w:rPr>
          <w:spacing w:val="-4"/>
        </w:rPr>
        <w:t xml:space="preserve"> </w:t>
      </w:r>
      <w:r>
        <w:t>pour</w:t>
      </w:r>
      <w:r>
        <w:rPr>
          <w:spacing w:val="-2"/>
        </w:rPr>
        <w:t xml:space="preserve"> </w:t>
      </w:r>
      <w:r>
        <w:t xml:space="preserve">les activités de montagnes. Elle a commencé à produire des sacs de couchage rembourrés, tentes de camping, ainsi que ses vestes reconnaissables en cagoule et en duvet. La marque a déjà atteint sa grande notoriété dans les années 1950 lorsque les produits français notoirement connus Lionel Terray ont choisi des produits de la marque pour ses expéditions (vêtements de protection, gants et sacs de couchage). Depuis lors, la marque est devenue </w:t>
      </w:r>
      <w:r>
        <w:rPr>
          <w:rFonts w:ascii="Arial" w:hAnsi="Arial"/>
          <w:b/>
        </w:rPr>
        <w:t>«un</w:t>
      </w:r>
      <w:r>
        <w:rPr>
          <w:rFonts w:ascii="Arial" w:hAnsi="Arial"/>
          <w:b/>
          <w:spacing w:val="40"/>
        </w:rPr>
        <w:t xml:space="preserve"> </w:t>
      </w:r>
      <w:r>
        <w:rPr>
          <w:rFonts w:ascii="Arial" w:hAnsi="Arial"/>
          <w:b/>
        </w:rPr>
        <w:t xml:space="preserve">symbole d’alpinisme» </w:t>
      </w:r>
      <w:r>
        <w:t>et a été sélectionnée comme une marque de préférence pour d’autres expéditions en montagne. À la suite de la collaboration avec le créateur français Chantal Thomass, depuis les années 1980,</w:t>
      </w:r>
      <w:r>
        <w:rPr>
          <w:spacing w:val="-6"/>
        </w:rPr>
        <w:t xml:space="preserve"> </w:t>
      </w:r>
      <w:r>
        <w:t>la</w:t>
      </w:r>
      <w:r>
        <w:rPr>
          <w:spacing w:val="-9"/>
        </w:rPr>
        <w:t xml:space="preserve"> </w:t>
      </w:r>
      <w:r>
        <w:t>veste</w:t>
      </w:r>
      <w:r>
        <w:rPr>
          <w:spacing w:val="-9"/>
        </w:rPr>
        <w:t xml:space="preserve"> </w:t>
      </w:r>
      <w:r>
        <w:t>«Moncler»</w:t>
      </w:r>
      <w:r>
        <w:rPr>
          <w:spacing w:val="-8"/>
        </w:rPr>
        <w:t xml:space="preserve"> </w:t>
      </w:r>
      <w:r>
        <w:t>a</w:t>
      </w:r>
      <w:r>
        <w:rPr>
          <w:spacing w:val="-9"/>
        </w:rPr>
        <w:t xml:space="preserve"> </w:t>
      </w:r>
      <w:r>
        <w:t>été</w:t>
      </w:r>
      <w:r>
        <w:rPr>
          <w:spacing w:val="-9"/>
        </w:rPr>
        <w:t xml:space="preserve"> </w:t>
      </w:r>
      <w:r>
        <w:t>recréée</w:t>
      </w:r>
      <w:r>
        <w:rPr>
          <w:spacing w:val="-9"/>
        </w:rPr>
        <w:t xml:space="preserve"> </w:t>
      </w:r>
      <w:r>
        <w:t>et</w:t>
      </w:r>
      <w:r>
        <w:rPr>
          <w:spacing w:val="-6"/>
        </w:rPr>
        <w:t xml:space="preserve"> </w:t>
      </w:r>
      <w:r>
        <w:t>a</w:t>
      </w:r>
      <w:r>
        <w:rPr>
          <w:spacing w:val="-9"/>
        </w:rPr>
        <w:t xml:space="preserve"> </w:t>
      </w:r>
      <w:r>
        <w:t>également fait</w:t>
      </w:r>
      <w:r>
        <w:rPr>
          <w:spacing w:val="25"/>
        </w:rPr>
        <w:t xml:space="preserve"> </w:t>
      </w:r>
      <w:r>
        <w:t>partie</w:t>
      </w:r>
      <w:r>
        <w:rPr>
          <w:spacing w:val="22"/>
        </w:rPr>
        <w:t xml:space="preserve"> </w:t>
      </w:r>
      <w:r>
        <w:t>de</w:t>
      </w:r>
      <w:r>
        <w:rPr>
          <w:spacing w:val="22"/>
        </w:rPr>
        <w:t xml:space="preserve"> </w:t>
      </w:r>
      <w:r>
        <w:t>la</w:t>
      </w:r>
      <w:r>
        <w:rPr>
          <w:spacing w:val="22"/>
        </w:rPr>
        <w:t xml:space="preserve"> </w:t>
      </w:r>
      <w:r>
        <w:t>culture</w:t>
      </w:r>
      <w:r>
        <w:rPr>
          <w:spacing w:val="22"/>
        </w:rPr>
        <w:t xml:space="preserve"> </w:t>
      </w:r>
      <w:r>
        <w:t>de</w:t>
      </w:r>
      <w:r>
        <w:rPr>
          <w:spacing w:val="22"/>
        </w:rPr>
        <w:t xml:space="preserve"> </w:t>
      </w:r>
      <w:r>
        <w:t>la</w:t>
      </w:r>
      <w:r>
        <w:rPr>
          <w:spacing w:val="22"/>
        </w:rPr>
        <w:t xml:space="preserve"> </w:t>
      </w:r>
      <w:r>
        <w:t>voirie,</w:t>
      </w:r>
      <w:r>
        <w:rPr>
          <w:spacing w:val="25"/>
        </w:rPr>
        <w:t xml:space="preserve"> </w:t>
      </w:r>
      <w:r>
        <w:t>se</w:t>
      </w:r>
      <w:r>
        <w:rPr>
          <w:spacing w:val="22"/>
        </w:rPr>
        <w:t xml:space="preserve"> </w:t>
      </w:r>
      <w:r>
        <w:t>transformant</w:t>
      </w:r>
      <w:r>
        <w:rPr>
          <w:spacing w:val="25"/>
        </w:rPr>
        <w:t xml:space="preserve"> </w:t>
      </w:r>
      <w:r>
        <w:t>ainsi en une icône du</w:t>
      </w:r>
      <w:r>
        <w:rPr>
          <w:spacing w:val="19"/>
        </w:rPr>
        <w:t xml:space="preserve"> </w:t>
      </w:r>
      <w:r>
        <w:rPr>
          <w:rFonts w:ascii="Arial" w:hAnsi="Arial"/>
          <w:b/>
        </w:rPr>
        <w:t>mouvement</w:t>
      </w:r>
      <w:r>
        <w:rPr>
          <w:rFonts w:ascii="Arial" w:hAnsi="Arial"/>
          <w:b/>
          <w:spacing w:val="12"/>
        </w:rPr>
        <w:t xml:space="preserve"> </w:t>
      </w:r>
      <w:r>
        <w:rPr>
          <w:rFonts w:ascii="Arial" w:hAnsi="Arial"/>
          <w:b/>
        </w:rPr>
        <w:t>dit</w:t>
      </w:r>
    </w:p>
    <w:p w14:paraId="766A3240" w14:textId="77777777" w:rsidR="00E32F98" w:rsidRDefault="00000000">
      <w:pPr>
        <w:pStyle w:val="Corpsdetexte"/>
        <w:ind w:left="166" w:right="145"/>
        <w:jc w:val="both"/>
      </w:pPr>
      <w:r>
        <w:rPr>
          <w:rFonts w:ascii="Arial" w:hAnsi="Arial"/>
          <w:b/>
        </w:rPr>
        <w:t xml:space="preserve">«paninari» </w:t>
      </w:r>
      <w:r>
        <w:t>en Italie — devenant une déclaration culturelle pop. À</w:t>
      </w:r>
      <w:r>
        <w:rPr>
          <w:spacing w:val="-7"/>
        </w:rPr>
        <w:t xml:space="preserve"> </w:t>
      </w:r>
      <w:r>
        <w:t>partir de 2003, lorsque la marque a changé de titulaire, elle a été transformée d’une marque à des fins purement sportives en une marque de mode polyvalente avec des lignes vestimentaires pour tous les gommes, ages et cultures, joints progressivement par des produits complémentaires. En décembre 2013, «Moncler» a été coté à la Bourse italienne, avec l’offre publique initiale la plus</w:t>
      </w:r>
      <w:r>
        <w:rPr>
          <w:spacing w:val="19"/>
        </w:rPr>
        <w:t xml:space="preserve"> </w:t>
      </w:r>
      <w:r>
        <w:t>efficace (OPI) sur le marché européen jusqu’à cette date.</w:t>
      </w:r>
      <w:r>
        <w:rPr>
          <w:spacing w:val="-5"/>
        </w:rPr>
        <w:t xml:space="preserve"> </w:t>
      </w:r>
      <w:r>
        <w:t>The</w:t>
      </w:r>
      <w:r>
        <w:rPr>
          <w:spacing w:val="-8"/>
        </w:rPr>
        <w:t xml:space="preserve"> </w:t>
      </w:r>
      <w:r>
        <w:t>brand</w:t>
      </w:r>
      <w:r>
        <w:rPr>
          <w:spacing w:val="-8"/>
        </w:rPr>
        <w:t xml:space="preserve"> </w:t>
      </w:r>
      <w:r>
        <w:t>has been</w:t>
      </w:r>
      <w:r>
        <w:rPr>
          <w:spacing w:val="-8"/>
        </w:rPr>
        <w:t xml:space="preserve"> </w:t>
      </w:r>
      <w:r>
        <w:t>linked</w:t>
      </w:r>
      <w:r>
        <w:rPr>
          <w:spacing w:val="-8"/>
        </w:rPr>
        <w:t xml:space="preserve"> </w:t>
      </w:r>
      <w:r>
        <w:t>to</w:t>
      </w:r>
    </w:p>
    <w:p w14:paraId="6316AF2B" w14:textId="77777777" w:rsidR="00E32F98" w:rsidRDefault="00E32F98">
      <w:pPr>
        <w:pStyle w:val="Corpsdetexte"/>
        <w:jc w:val="both"/>
        <w:sectPr w:rsidR="00E32F98">
          <w:type w:val="continuous"/>
          <w:pgSz w:w="11910" w:h="16850"/>
          <w:pgMar w:top="720" w:right="1275" w:bottom="280" w:left="1275" w:header="720" w:footer="720" w:gutter="0"/>
          <w:cols w:space="720"/>
        </w:sectPr>
      </w:pPr>
    </w:p>
    <w:p w14:paraId="784AF071" w14:textId="77777777" w:rsidR="00E32F98" w:rsidRDefault="00000000">
      <w:pPr>
        <w:pStyle w:val="Corpsdetexte"/>
        <w:spacing w:before="186"/>
      </w:pPr>
      <w:r>
        <w:rPr>
          <w:noProof/>
        </w:rPr>
        <w:lastRenderedPageBreak/>
        <mc:AlternateContent>
          <mc:Choice Requires="wps">
            <w:drawing>
              <wp:anchor distT="0" distB="0" distL="0" distR="0" simplePos="0" relativeHeight="15729664" behindDoc="0" locked="0" layoutInCell="1" allowOverlap="1" wp14:anchorId="02F4397E" wp14:editId="6E4E539D">
                <wp:simplePos x="0" y="0"/>
                <wp:positionH relativeFrom="page">
                  <wp:posOffset>270575</wp:posOffset>
                </wp:positionH>
                <wp:positionV relativeFrom="page">
                  <wp:posOffset>1118555</wp:posOffset>
                </wp:positionV>
                <wp:extent cx="146050" cy="921004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0C912CAE"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29664" type="#_x0000_t202" id="docshape6"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6DF70780" w14:textId="77777777" w:rsidR="00E32F98" w:rsidRDefault="00000000">
      <w:pPr>
        <w:pStyle w:val="Corpsdetexte"/>
        <w:ind w:left="166" w:right="148"/>
        <w:jc w:val="both"/>
      </w:pPr>
      <w:r>
        <w:t>the innovative project ‘Moncler Genius’, in which multiple creative directors work for the</w:t>
      </w:r>
      <w:r>
        <w:rPr>
          <w:spacing w:val="40"/>
        </w:rPr>
        <w:t xml:space="preserve"> </w:t>
      </w:r>
      <w:r>
        <w:t>same</w:t>
      </w:r>
      <w:r>
        <w:rPr>
          <w:spacing w:val="24"/>
        </w:rPr>
        <w:t xml:space="preserve"> </w:t>
      </w:r>
      <w:r>
        <w:t>brand</w:t>
      </w:r>
      <w:r>
        <w:rPr>
          <w:spacing w:val="24"/>
        </w:rPr>
        <w:t xml:space="preserve"> </w:t>
      </w:r>
      <w:r>
        <w:t>creating their individual collections. De nos</w:t>
      </w:r>
      <w:r>
        <w:rPr>
          <w:spacing w:val="21"/>
        </w:rPr>
        <w:t xml:space="preserve"> </w:t>
      </w:r>
      <w:r>
        <w:t>jours, la marque est présente dans le monde entier dans 70 pays et les boutiques de la marque sont basées dans les centres métropolitains les plus élégants pour les achats de luxe, soit 66 seulement en Europe et présents dans les capitales de mode (également les capitales de l’UE</w:t>
      </w:r>
      <w:r>
        <w:rPr>
          <w:spacing w:val="-3"/>
        </w:rPr>
        <w:t xml:space="preserve"> </w:t>
      </w:r>
      <w:r>
        <w:t>comme</w:t>
      </w:r>
      <w:r>
        <w:rPr>
          <w:spacing w:val="-8"/>
        </w:rPr>
        <w:t xml:space="preserve"> </w:t>
      </w:r>
      <w:r>
        <w:t>Paris,</w:t>
      </w:r>
      <w:r>
        <w:rPr>
          <w:spacing w:val="-5"/>
        </w:rPr>
        <w:t xml:space="preserve"> </w:t>
      </w:r>
      <w:r>
        <w:t xml:space="preserve">Berlin, Londres, Amsterdam, Vienne, Prague, Bruxelles, Budapest, Copenhagen, Rome), ainsi que dans d’autres grandes villes et stations de ski clés, notamment en Italie, en France et en Autriche. La demanderesse ajoute que la marque a fait l’objet de </w:t>
      </w:r>
      <w:r>
        <w:rPr>
          <w:rFonts w:ascii="Arial" w:hAnsi="Arial"/>
          <w:b/>
        </w:rPr>
        <w:t xml:space="preserve">campagnes publicitaires intenses </w:t>
      </w:r>
      <w:r>
        <w:t>(donc des investissements publicitaires) dans des magazines spécialisés et des journaux ayant une incidence médiatique considérable, ainsi que sur tous les principaux canaux de communication (site web officiel, YouTube, Instagram, Facebook). La marque reposait fortement sur des partenariats avec des personnalités de</w:t>
      </w:r>
      <w:r>
        <w:rPr>
          <w:spacing w:val="-10"/>
        </w:rPr>
        <w:t xml:space="preserve"> </w:t>
      </w:r>
      <w:r>
        <w:t>divertissement</w:t>
      </w:r>
      <w:r>
        <w:rPr>
          <w:spacing w:val="-7"/>
        </w:rPr>
        <w:t xml:space="preserve"> </w:t>
      </w:r>
      <w:r>
        <w:t>et</w:t>
      </w:r>
      <w:r>
        <w:rPr>
          <w:spacing w:val="-7"/>
        </w:rPr>
        <w:t xml:space="preserve"> </w:t>
      </w:r>
      <w:r>
        <w:t>d’autres marques et a réalisé des ventes impressionnantes au</w:t>
      </w:r>
      <w:r>
        <w:rPr>
          <w:spacing w:val="-10"/>
        </w:rPr>
        <w:t xml:space="preserve"> </w:t>
      </w:r>
      <w:r>
        <w:t>niveau</w:t>
      </w:r>
      <w:r>
        <w:rPr>
          <w:spacing w:val="-10"/>
        </w:rPr>
        <w:t xml:space="preserve"> </w:t>
      </w:r>
      <w:r>
        <w:t>mondial</w:t>
      </w:r>
      <w:r>
        <w:rPr>
          <w:spacing w:val="-10"/>
        </w:rPr>
        <w:t xml:space="preserve"> </w:t>
      </w:r>
      <w:r>
        <w:t>et</w:t>
      </w:r>
      <w:r>
        <w:rPr>
          <w:spacing w:val="-7"/>
        </w:rPr>
        <w:t xml:space="preserve"> </w:t>
      </w:r>
      <w:r>
        <w:t>en</w:t>
      </w:r>
      <w:r>
        <w:rPr>
          <w:spacing w:val="-10"/>
        </w:rPr>
        <w:t xml:space="preserve"> </w:t>
      </w:r>
      <w:r>
        <w:t>Italie.</w:t>
      </w:r>
      <w:r>
        <w:rPr>
          <w:spacing w:val="-7"/>
        </w:rPr>
        <w:t xml:space="preserve"> </w:t>
      </w:r>
      <w:r>
        <w:t>La</w:t>
      </w:r>
      <w:r>
        <w:rPr>
          <w:spacing w:val="-10"/>
        </w:rPr>
        <w:t xml:space="preserve"> </w:t>
      </w:r>
      <w:r>
        <w:t>marque</w:t>
      </w:r>
    </w:p>
    <w:p w14:paraId="38E79B6F" w14:textId="77777777" w:rsidR="00E32F98" w:rsidRDefault="00000000">
      <w:pPr>
        <w:pStyle w:val="Corpsdetexte"/>
        <w:spacing w:line="242" w:lineRule="auto"/>
        <w:ind w:left="166" w:right="159"/>
        <w:jc w:val="both"/>
      </w:pPr>
      <w:r>
        <w:t>«Moncler» est enregistrée dans tous les grands pays du monde pour une large gamme de produits et de services.</w:t>
      </w:r>
    </w:p>
    <w:p w14:paraId="2842B463" w14:textId="77777777" w:rsidR="00E32F98" w:rsidRDefault="00E32F98">
      <w:pPr>
        <w:pStyle w:val="Corpsdetexte"/>
      </w:pPr>
    </w:p>
    <w:p w14:paraId="220F033F" w14:textId="77777777" w:rsidR="00E32F98" w:rsidRDefault="00000000">
      <w:pPr>
        <w:pStyle w:val="Corpsdetexte"/>
        <w:spacing w:before="1"/>
        <w:ind w:left="166" w:right="148"/>
        <w:jc w:val="both"/>
      </w:pPr>
      <w:r>
        <w:t>Par conséquent, compte tenu de ce qui précède, ainsi que des similitudes entre les signes dues à la coïncidence de la suite de lettres «MON» et aux</w:t>
      </w:r>
      <w:r>
        <w:rPr>
          <w:spacing w:val="-12"/>
        </w:rPr>
        <w:t xml:space="preserve"> </w:t>
      </w:r>
      <w:r>
        <w:t>similitudes des produits/services, la demanderesse considère qu’il existe un risque de confusion entre eux, compte tenu notamment du caractère distinctif exceptionnellement élevé de la marque antérieure. En outre, en raison de la similitude indiscutable des signes et de la renommée de la marque antérieure, les consommateurs établiront un lien entre les signes et le signe contesté tirera indûment profit du caractère distinctif et de la renommée de la marque antérieure. L’usage du signe contesté porterait également préjudice au caractère distinctif de la marque antérieure dans</w:t>
      </w:r>
      <w:r>
        <w:rPr>
          <w:spacing w:val="40"/>
        </w:rPr>
        <w:t xml:space="preserve"> </w:t>
      </w:r>
      <w:r>
        <w:t>la mesure où il peut diluer son pouvoir distinctif; enfin, si les produits couverts par le signe contesté n’ont pas l’attrait de la marque «Moncler», ils nuiront inévitablement à sa renommée. Outre ses allégations concernant la renommée de sa marque, la demanderesse a produit des éléments de preuve qui seront décrits dans la section correspondante ci-dessous.</w:t>
      </w:r>
    </w:p>
    <w:p w14:paraId="34FC5417" w14:textId="77777777" w:rsidR="00E32F98" w:rsidRDefault="00E32F98">
      <w:pPr>
        <w:pStyle w:val="Corpsdetexte"/>
        <w:spacing w:before="3"/>
      </w:pPr>
    </w:p>
    <w:p w14:paraId="4F32C5C7" w14:textId="77777777" w:rsidR="00E32F98" w:rsidRDefault="00000000">
      <w:pPr>
        <w:pStyle w:val="Corpsdetexte"/>
        <w:spacing w:line="237" w:lineRule="auto"/>
        <w:ind w:left="166" w:right="151"/>
        <w:jc w:val="both"/>
      </w:pPr>
      <w:r>
        <w:rPr>
          <w:rFonts w:ascii="Arial" w:hAnsi="Arial"/>
          <w:b/>
          <w:u w:val="thick"/>
        </w:rPr>
        <w:t>La titulaire</w:t>
      </w:r>
      <w:r>
        <w:t xml:space="preserve">de la marque de l’Union européenne demande la preuve de l’usage (comme indiqué à </w:t>
      </w:r>
      <w:r>
        <w:rPr>
          <w:rFonts w:ascii="Arial" w:hAnsi="Arial"/>
          <w:b/>
        </w:rPr>
        <w:t>l’annexe 1</w:t>
      </w:r>
      <w:r>
        <w:t>) et déclare qu’elle complétera ses observations en procédant à une appréciation plus détaillée uniquement pour autant que le demandeur prouve l’usage demandé de sa marque. Elle introduit ensuite sa propre marque lancée au milieu des</w:t>
      </w:r>
      <w:r>
        <w:rPr>
          <w:spacing w:val="40"/>
        </w:rPr>
        <w:t xml:space="preserve"> </w:t>
      </w:r>
      <w:r>
        <w:t>années</w:t>
      </w:r>
      <w:r>
        <w:rPr>
          <w:spacing w:val="34"/>
        </w:rPr>
        <w:t xml:space="preserve"> </w:t>
      </w:r>
      <w:r>
        <w:t>2010</w:t>
      </w:r>
      <w:r>
        <w:rPr>
          <w:spacing w:val="20"/>
        </w:rPr>
        <w:t xml:space="preserve"> </w:t>
      </w:r>
      <w:r>
        <w:t>pour</w:t>
      </w:r>
      <w:r>
        <w:rPr>
          <w:spacing w:val="25"/>
        </w:rPr>
        <w:t xml:space="preserve"> </w:t>
      </w:r>
      <w:r>
        <w:t>une</w:t>
      </w:r>
      <w:r>
        <w:rPr>
          <w:spacing w:val="20"/>
        </w:rPr>
        <w:t xml:space="preserve"> </w:t>
      </w:r>
      <w:r>
        <w:t>ligne</w:t>
      </w:r>
      <w:r>
        <w:rPr>
          <w:spacing w:val="20"/>
        </w:rPr>
        <w:t xml:space="preserve"> </w:t>
      </w:r>
      <w:r>
        <w:t>de</w:t>
      </w:r>
      <w:r>
        <w:rPr>
          <w:spacing w:val="20"/>
        </w:rPr>
        <w:t xml:space="preserve"> </w:t>
      </w:r>
      <w:r>
        <w:t>vêtements</w:t>
      </w:r>
      <w:r>
        <w:rPr>
          <w:spacing w:val="32"/>
        </w:rPr>
        <w:t xml:space="preserve"> </w:t>
      </w:r>
      <w:r>
        <w:t>de</w:t>
      </w:r>
      <w:r>
        <w:rPr>
          <w:spacing w:val="20"/>
        </w:rPr>
        <w:t xml:space="preserve"> </w:t>
      </w:r>
      <w:r>
        <w:t>dessus</w:t>
      </w:r>
      <w:r>
        <w:rPr>
          <w:spacing w:val="32"/>
        </w:rPr>
        <w:t xml:space="preserve"> </w:t>
      </w:r>
      <w:r>
        <w:t>techniques, affirmant que la marque</w:t>
      </w:r>
    </w:p>
    <w:p w14:paraId="69DA51CF" w14:textId="77777777" w:rsidR="00E32F98" w:rsidRDefault="00000000">
      <w:pPr>
        <w:pStyle w:val="Corpsdetexte"/>
        <w:spacing w:before="7"/>
        <w:ind w:left="166" w:right="147"/>
        <w:jc w:val="both"/>
      </w:pPr>
      <w:r>
        <w:t>«MONTEC» a depuis été exponentiellement élargie et est aujourd’hui une marque</w:t>
      </w:r>
      <w:r>
        <w:rPr>
          <w:spacing w:val="-14"/>
        </w:rPr>
        <w:t xml:space="preserve"> </w:t>
      </w:r>
      <w:r>
        <w:t>de</w:t>
      </w:r>
      <w:r>
        <w:rPr>
          <w:spacing w:val="-14"/>
        </w:rPr>
        <w:t xml:space="preserve"> </w:t>
      </w:r>
      <w:r>
        <w:t>qualité et innovante dans le domaine des vêtements de dessus techniques spécialement conçus pour le ski et le snow, établis au sein de l’Union européenne et en Amérique du Nord, ainsi que sur d’autres marchés internationaux. En outre, elle fait valoir que ses marques ont été respectivement enregistrées dans plusieurs juridictions, dont certaines ont été examinées</w:t>
      </w:r>
      <w:r>
        <w:rPr>
          <w:spacing w:val="40"/>
        </w:rPr>
        <w:t xml:space="preserve"> </w:t>
      </w:r>
      <w:r>
        <w:t>sur</w:t>
      </w:r>
      <w:r>
        <w:rPr>
          <w:spacing w:val="26"/>
        </w:rPr>
        <w:t xml:space="preserve"> </w:t>
      </w:r>
      <w:r>
        <w:t>la base de motifs</w:t>
      </w:r>
      <w:r>
        <w:rPr>
          <w:spacing w:val="33"/>
        </w:rPr>
        <w:t xml:space="preserve"> </w:t>
      </w:r>
      <w:r>
        <w:t>relatifs.</w:t>
      </w:r>
      <w:r>
        <w:rPr>
          <w:spacing w:val="24"/>
        </w:rPr>
        <w:t xml:space="preserve"> </w:t>
      </w:r>
      <w:r>
        <w:t>Ainsi,</w:t>
      </w:r>
      <w:r>
        <w:rPr>
          <w:spacing w:val="24"/>
        </w:rPr>
        <w:t xml:space="preserve"> </w:t>
      </w:r>
      <w:r>
        <w:t>en l’absence de tout litige préalable entre les marques en cause au cours des sept dernières années environ, la réaction de la demanderesse à l’heure actuelle apparaît plutôt surprenante. En tout état de cause, la titulaire de la marque de l’Union européenne fait remarquer que les marques ne sont pas similaires étant donné qu’elles coïncident uniquement par trois lettres, ce qui, dans le contexte de marques relativement courtes, ne créera pas une similitude suffisante, d’autant plus que la partie verbale commune «MON» est une partie commune, générique et dépourvue de caractère distinctif (elle évoquera l’idée d’une «montagne»). À</w:t>
      </w:r>
      <w:r>
        <w:rPr>
          <w:spacing w:val="-8"/>
        </w:rPr>
        <w:t xml:space="preserve"> </w:t>
      </w:r>
      <w:r>
        <w:t xml:space="preserve">cet égard, la titulaire fournit </w:t>
      </w:r>
      <w:r>
        <w:rPr>
          <w:rFonts w:ascii="Arial" w:hAnsi="Arial"/>
          <w:b/>
        </w:rPr>
        <w:t>l’annexe 2</w:t>
      </w:r>
      <w:r>
        <w:t>, affirmant qu’il existe au moins 75 enregistrements de marques pour des produits compris dans la classe 25 dans le registre de l’UE uniquement qui ont une structure similaire — commençant par la partie verbale «MON» et une terminaison différente, et qui coexistent déjà. Cette partie verbale ne joue pas un rôle indépendant dans les marques et</w:t>
      </w:r>
      <w:r>
        <w:rPr>
          <w:spacing w:val="-8"/>
        </w:rPr>
        <w:t xml:space="preserve"> </w:t>
      </w:r>
      <w:r>
        <w:t>ne</w:t>
      </w:r>
      <w:r>
        <w:rPr>
          <w:spacing w:val="-11"/>
        </w:rPr>
        <w:t xml:space="preserve"> </w:t>
      </w:r>
      <w:r>
        <w:t>peut</w:t>
      </w:r>
      <w:r>
        <w:rPr>
          <w:spacing w:val="-8"/>
        </w:rPr>
        <w:t xml:space="preserve"> </w:t>
      </w:r>
      <w:r>
        <w:t>être considérée isolément. Par conséquent, les marques en cause sont visuellement, phonétiquement et conceptuellement dissimilaires ou tout au plus très faiblement</w:t>
      </w:r>
      <w:r>
        <w:rPr>
          <w:spacing w:val="-6"/>
        </w:rPr>
        <w:t xml:space="preserve"> </w:t>
      </w:r>
      <w:r>
        <w:t>similaires. La</w:t>
      </w:r>
      <w:r>
        <w:rPr>
          <w:spacing w:val="80"/>
        </w:rPr>
        <w:t xml:space="preserve"> </w:t>
      </w:r>
      <w:r>
        <w:t>partie</w:t>
      </w:r>
      <w:r>
        <w:rPr>
          <w:spacing w:val="80"/>
        </w:rPr>
        <w:t xml:space="preserve"> </w:t>
      </w:r>
      <w:r>
        <w:t>verbale</w:t>
      </w:r>
      <w:r>
        <w:rPr>
          <w:spacing w:val="80"/>
        </w:rPr>
        <w:t xml:space="preserve"> </w:t>
      </w:r>
      <w:r>
        <w:t>«TEC»</w:t>
      </w:r>
      <w:r>
        <w:rPr>
          <w:spacing w:val="80"/>
        </w:rPr>
        <w:t xml:space="preserve"> </w:t>
      </w:r>
      <w:r>
        <w:t>du</w:t>
      </w:r>
      <w:r>
        <w:rPr>
          <w:spacing w:val="80"/>
        </w:rPr>
        <w:t xml:space="preserve"> </w:t>
      </w:r>
      <w:r>
        <w:t>signe</w:t>
      </w:r>
      <w:r>
        <w:rPr>
          <w:spacing w:val="80"/>
        </w:rPr>
        <w:t xml:space="preserve"> </w:t>
      </w:r>
      <w:r>
        <w:t>contesté</w:t>
      </w:r>
      <w:r>
        <w:rPr>
          <w:spacing w:val="79"/>
        </w:rPr>
        <w:t xml:space="preserve"> </w:t>
      </w:r>
      <w:r>
        <w:t>évoquera</w:t>
      </w:r>
      <w:r>
        <w:rPr>
          <w:spacing w:val="79"/>
        </w:rPr>
        <w:t xml:space="preserve"> </w:t>
      </w:r>
      <w:r>
        <w:t>en</w:t>
      </w:r>
      <w:r>
        <w:rPr>
          <w:spacing w:val="79"/>
        </w:rPr>
        <w:t xml:space="preserve"> </w:t>
      </w:r>
      <w:r>
        <w:t>anglais</w:t>
      </w:r>
      <w:r>
        <w:rPr>
          <w:spacing w:val="80"/>
        </w:rPr>
        <w:t xml:space="preserve"> </w:t>
      </w:r>
      <w:r>
        <w:t>la</w:t>
      </w:r>
      <w:r>
        <w:rPr>
          <w:spacing w:val="79"/>
        </w:rPr>
        <w:t xml:space="preserve"> </w:t>
      </w:r>
      <w:r>
        <w:t>connotation</w:t>
      </w:r>
      <w:r>
        <w:rPr>
          <w:spacing w:val="79"/>
        </w:rPr>
        <w:t xml:space="preserve"> </w:t>
      </w:r>
      <w:r>
        <w:t>de</w:t>
      </w:r>
    </w:p>
    <w:p w14:paraId="77816F54" w14:textId="77777777" w:rsidR="00E32F98" w:rsidRDefault="00E32F98">
      <w:pPr>
        <w:pStyle w:val="Corpsdetexte"/>
        <w:jc w:val="both"/>
        <w:sectPr w:rsidR="00E32F98">
          <w:headerReference w:type="default" r:id="rId8"/>
          <w:pgSz w:w="11910" w:h="16850"/>
          <w:pgMar w:top="1000" w:right="1275" w:bottom="280" w:left="1275" w:header="727" w:footer="0" w:gutter="0"/>
          <w:cols w:space="720"/>
        </w:sectPr>
      </w:pPr>
    </w:p>
    <w:p w14:paraId="3B98D065" w14:textId="77777777" w:rsidR="00E32F98" w:rsidRDefault="00000000">
      <w:pPr>
        <w:pStyle w:val="Corpsdetexte"/>
        <w:spacing w:before="186"/>
      </w:pPr>
      <w:r>
        <w:rPr>
          <w:noProof/>
        </w:rPr>
        <w:lastRenderedPageBreak/>
        <mc:AlternateContent>
          <mc:Choice Requires="wps">
            <w:drawing>
              <wp:anchor distT="0" distB="0" distL="0" distR="0" simplePos="0" relativeHeight="15730176" behindDoc="0" locked="0" layoutInCell="1" allowOverlap="1" wp14:anchorId="4DEA9AC2" wp14:editId="3C3FE476">
                <wp:simplePos x="0" y="0"/>
                <wp:positionH relativeFrom="page">
                  <wp:posOffset>270575</wp:posOffset>
                </wp:positionH>
                <wp:positionV relativeFrom="page">
                  <wp:posOffset>1118555</wp:posOffset>
                </wp:positionV>
                <wp:extent cx="146050" cy="92100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18E4EDF1"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30176" type="#_x0000_t202" id="docshape10"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707F754D" w14:textId="77777777" w:rsidR="00E32F98" w:rsidRDefault="00000000">
      <w:pPr>
        <w:pStyle w:val="Corpsdetexte"/>
        <w:ind w:left="166" w:right="148"/>
        <w:jc w:val="both"/>
      </w:pPr>
      <w:r>
        <w:t>«technology»; en revanche, la marque antérieure se prononce comme un mot de la langue française. En outre, les consommateurs seront informés des tendances du marché</w:t>
      </w:r>
      <w:r>
        <w:rPr>
          <w:spacing w:val="-5"/>
        </w:rPr>
        <w:t xml:space="preserve"> </w:t>
      </w:r>
      <w:r>
        <w:t xml:space="preserve">dans le secteur de la mode et identifieront clairement les marques avec des produits différents étant donné qu’ils fabriquent des vêtements pour différents segments — vêtements de mode de luxe et articles fonctionnels ayant un caractère technique pour le ski et le snow -board. Malgré la présentation de nombreux éléments de preuve, la demanderesse n’a pas démontré que les deux marques sont confondues par les consommateurs, ce qui, compte tenu de leur coexistence sur le marché depuis plusieurs années, ne constitue qu’une indication que les consommateurs sont raisonnablement attentifs et ne confondent pas les </w:t>
      </w:r>
      <w:r>
        <w:rPr>
          <w:spacing w:val="-2"/>
        </w:rPr>
        <w:t>signes.</w:t>
      </w:r>
    </w:p>
    <w:p w14:paraId="64C3F72B" w14:textId="77777777" w:rsidR="00E32F98" w:rsidRDefault="00000000">
      <w:pPr>
        <w:pStyle w:val="Corpsdetexte"/>
        <w:spacing w:before="248"/>
        <w:ind w:left="166" w:right="149"/>
        <w:jc w:val="both"/>
      </w:pPr>
      <w:r>
        <w:t>En ce qui concerne l’article</w:t>
      </w:r>
      <w:r>
        <w:rPr>
          <w:spacing w:val="-3"/>
        </w:rPr>
        <w:t xml:space="preserve"> </w:t>
      </w:r>
      <w:r>
        <w:t>8, paragraphe</w:t>
      </w:r>
      <w:r>
        <w:rPr>
          <w:spacing w:val="-7"/>
        </w:rPr>
        <w:t xml:space="preserve"> </w:t>
      </w:r>
      <w:r>
        <w:t>5, du RMUE invoqué, la titulaire note que la demanderesse ne dispose pas de droits exclusifs sur la combinaison de lettres «MON»,</w:t>
      </w:r>
      <w:r>
        <w:rPr>
          <w:spacing w:val="-4"/>
        </w:rPr>
        <w:t xml:space="preserve"> </w:t>
      </w:r>
      <w:r>
        <w:t>de sorte qu’elle ne saurait invoquer un lien immédiat entre les signes pour la simple</w:t>
      </w:r>
      <w:r>
        <w:rPr>
          <w:spacing w:val="40"/>
        </w:rPr>
        <w:t xml:space="preserve"> </w:t>
      </w:r>
      <w:r>
        <w:t>coïncidence de ces lettres. Compte tenu de tout ce qui précède, la titulaire de la</w:t>
      </w:r>
      <w:r>
        <w:rPr>
          <w:spacing w:val="-7"/>
        </w:rPr>
        <w:t xml:space="preserve"> </w:t>
      </w:r>
      <w:r>
        <w:t>marque</w:t>
      </w:r>
      <w:r>
        <w:rPr>
          <w:spacing w:val="-7"/>
        </w:rPr>
        <w:t xml:space="preserve"> </w:t>
      </w:r>
      <w:r>
        <w:t>de l’Union européenne affirme qu’elle a enregistré et utilisé sa marque dans un juste motif (en tant qu’intérêt commercial légitime) et souligne à nouveau que la demanderesse n’a pas réussi à présenter la moindre preuve de confusion qui s’est déjà produite. En fait, la seule raison pour laquelle la demanderesse ne connaissait pas le droit de</w:t>
      </w:r>
      <w:r>
        <w:rPr>
          <w:spacing w:val="-8"/>
        </w:rPr>
        <w:t xml:space="preserve"> </w:t>
      </w:r>
      <w:r>
        <w:t>la</w:t>
      </w:r>
      <w:r>
        <w:rPr>
          <w:spacing w:val="-8"/>
        </w:rPr>
        <w:t xml:space="preserve"> </w:t>
      </w:r>
      <w:r>
        <w:t>titulaire</w:t>
      </w:r>
      <w:r>
        <w:rPr>
          <w:spacing w:val="-8"/>
        </w:rPr>
        <w:t xml:space="preserve"> </w:t>
      </w:r>
      <w:r>
        <w:t>serait</w:t>
      </w:r>
      <w:r>
        <w:rPr>
          <w:spacing w:val="-6"/>
        </w:rPr>
        <w:t xml:space="preserve"> </w:t>
      </w:r>
      <w:r>
        <w:t>que</w:t>
      </w:r>
      <w:r>
        <w:rPr>
          <w:spacing w:val="-8"/>
        </w:rPr>
        <w:t xml:space="preserve"> </w:t>
      </w:r>
      <w:r>
        <w:t>les deux marques s’adressent</w:t>
      </w:r>
      <w:r>
        <w:rPr>
          <w:spacing w:val="-1"/>
        </w:rPr>
        <w:t xml:space="preserve"> </w:t>
      </w:r>
      <w:r>
        <w:t>à des consommateurs finaux complètement</w:t>
      </w:r>
      <w:r>
        <w:rPr>
          <w:spacing w:val="-1"/>
        </w:rPr>
        <w:t xml:space="preserve"> </w:t>
      </w:r>
      <w:r>
        <w:t>différents.</w:t>
      </w:r>
    </w:p>
    <w:p w14:paraId="4CEE118D" w14:textId="77777777" w:rsidR="00E32F98" w:rsidRDefault="00E32F98">
      <w:pPr>
        <w:pStyle w:val="Corpsdetexte"/>
        <w:spacing w:before="7"/>
      </w:pPr>
    </w:p>
    <w:p w14:paraId="64241B66" w14:textId="77777777" w:rsidR="00E32F98" w:rsidRDefault="00000000">
      <w:pPr>
        <w:pStyle w:val="Corpsdetexte"/>
        <w:spacing w:line="242" w:lineRule="auto"/>
        <w:ind w:left="166" w:right="152"/>
        <w:jc w:val="both"/>
      </w:pPr>
      <w:r>
        <w:t xml:space="preserve">Dans sa réponse du 29/11/2023, la </w:t>
      </w:r>
      <w:r>
        <w:rPr>
          <w:rFonts w:ascii="Arial" w:hAnsi="Arial"/>
          <w:b/>
          <w:u w:val="thick"/>
        </w:rPr>
        <w:t>demanderesse</w:t>
      </w:r>
      <w:r>
        <w:rPr>
          <w:rFonts w:ascii="Arial" w:hAnsi="Arial"/>
          <w:b/>
        </w:rPr>
        <w:t xml:space="preserve"> </w:t>
      </w:r>
      <w:r>
        <w:t>présente des éléments de preuve supplémentaires (divisés aux points 1 à 4 et comprenant un total de 44 annexes qui seront énumérées plus en détail ci-dessous), affirmant qu’elle</w:t>
      </w:r>
      <w:r>
        <w:rPr>
          <w:spacing w:val="-3"/>
        </w:rPr>
        <w:t xml:space="preserve"> </w:t>
      </w:r>
      <w:r>
        <w:t>a</w:t>
      </w:r>
      <w:r>
        <w:rPr>
          <w:spacing w:val="-8"/>
        </w:rPr>
        <w:t xml:space="preserve"> </w:t>
      </w:r>
      <w:r>
        <w:t>utilisé</w:t>
      </w:r>
      <w:r>
        <w:rPr>
          <w:spacing w:val="-8"/>
        </w:rPr>
        <w:t xml:space="preserve"> </w:t>
      </w:r>
      <w:r>
        <w:t>la</w:t>
      </w:r>
      <w:r>
        <w:rPr>
          <w:spacing w:val="-8"/>
        </w:rPr>
        <w:t xml:space="preserve"> </w:t>
      </w:r>
      <w:r>
        <w:t>marque</w:t>
      </w:r>
      <w:r>
        <w:rPr>
          <w:spacing w:val="-8"/>
        </w:rPr>
        <w:t xml:space="preserve"> </w:t>
      </w:r>
      <w:r>
        <w:t>au</w:t>
      </w:r>
      <w:r>
        <w:rPr>
          <w:spacing w:val="-8"/>
        </w:rPr>
        <w:t xml:space="preserve"> </w:t>
      </w:r>
      <w:r>
        <w:t>moins pour</w:t>
      </w:r>
      <w:r>
        <w:rPr>
          <w:spacing w:val="-3"/>
        </w:rPr>
        <w:t xml:space="preserve"> </w:t>
      </w:r>
      <w:r>
        <w:t>les produits et services respectifs,</w:t>
      </w:r>
      <w:r>
        <w:rPr>
          <w:spacing w:val="-11"/>
        </w:rPr>
        <w:t xml:space="preserve"> </w:t>
      </w:r>
      <w:r>
        <w:t>qui sont pertinents aux fins de la procédure.</w:t>
      </w:r>
    </w:p>
    <w:p w14:paraId="583BF557" w14:textId="77777777" w:rsidR="00E32F98" w:rsidRDefault="00000000">
      <w:pPr>
        <w:pStyle w:val="Corpsdetexte"/>
        <w:spacing w:before="239"/>
        <w:ind w:left="166" w:right="149"/>
        <w:jc w:val="both"/>
      </w:pPr>
      <w:r>
        <w:t xml:space="preserve">Dans sa duplique, la </w:t>
      </w:r>
      <w:r>
        <w:rPr>
          <w:rFonts w:ascii="Arial" w:hAnsi="Arial"/>
          <w:b/>
          <w:u w:val="thick"/>
        </w:rPr>
        <w:t>titulaire de la marque</w:t>
      </w:r>
      <w:r>
        <w:rPr>
          <w:rFonts w:ascii="Arial" w:hAnsi="Arial"/>
          <w:b/>
        </w:rPr>
        <w:t xml:space="preserve"> </w:t>
      </w:r>
      <w:r>
        <w:t>de l’Union européenne réitère ses déclarations précédentes</w:t>
      </w:r>
      <w:r>
        <w:rPr>
          <w:spacing w:val="40"/>
        </w:rPr>
        <w:t xml:space="preserve"> </w:t>
      </w:r>
      <w:r>
        <w:t xml:space="preserve">et ajoute que les preuves de l’usage produites par la demanderesse ne sont pas suffisamment solides et objectives pour permettre d’établir que la marque a fait l’objet d’un usage sérieux </w:t>
      </w:r>
      <w:r>
        <w:rPr>
          <w:u w:val="single"/>
        </w:rPr>
        <w:t>pour tous les produits et services</w:t>
      </w:r>
      <w:r>
        <w:t xml:space="preserve">. En revanche, elle souligne que les éléments de preuve ont été présentés d’une manière peu claire et non structurée, dont il ressort simplement que la marque a été utilisée pour certains produits et services compris dans les classes 3, 9, 18, 25 et 35, en particulier pour les produits suivants: </w:t>
      </w:r>
      <w:r>
        <w:rPr>
          <w:rFonts w:ascii="Arial" w:hAnsi="Arial"/>
          <w:i/>
        </w:rPr>
        <w:t>vêtements, gants, chaussures, lunettes de soleil, ceintures, sacs, valises, sacs à dos, nécessaires de toilette, casques, casques de ski, parfums</w:t>
      </w:r>
      <w:r>
        <w:t>. Par conséquent,</w:t>
      </w:r>
      <w:r>
        <w:rPr>
          <w:spacing w:val="-2"/>
        </w:rPr>
        <w:t xml:space="preserve"> </w:t>
      </w:r>
      <w:r>
        <w:t>toute</w:t>
      </w:r>
      <w:r>
        <w:rPr>
          <w:spacing w:val="-6"/>
        </w:rPr>
        <w:t xml:space="preserve"> </w:t>
      </w:r>
      <w:r>
        <w:t>identité</w:t>
      </w:r>
      <w:r>
        <w:rPr>
          <w:spacing w:val="-6"/>
        </w:rPr>
        <w:t xml:space="preserve"> </w:t>
      </w:r>
      <w:r>
        <w:t>ou</w:t>
      </w:r>
      <w:r>
        <w:rPr>
          <w:spacing w:val="-6"/>
        </w:rPr>
        <w:t xml:space="preserve"> </w:t>
      </w:r>
      <w:r>
        <w:t>similitude</w:t>
      </w:r>
      <w:r>
        <w:rPr>
          <w:spacing w:val="-6"/>
        </w:rPr>
        <w:t xml:space="preserve"> </w:t>
      </w:r>
      <w:r>
        <w:t>avec la demande contestée peut être tout au plus limitée à ces produits et services. La titulaire critique également certains éléments de preuve étant donné qu’il n’est pas possible</w:t>
      </w:r>
      <w:r>
        <w:rPr>
          <w:spacing w:val="-11"/>
        </w:rPr>
        <w:t xml:space="preserve"> </w:t>
      </w:r>
      <w:r>
        <w:t>d’établir un lien clair avec les produits de la demanderesse ou parce qu’ils sont dépourvus de caractère objectif ou d’autres informations. Par conséquent, il est très difficile de tirer des conclusions sur</w:t>
      </w:r>
      <w:r>
        <w:rPr>
          <w:spacing w:val="-1"/>
        </w:rPr>
        <w:t xml:space="preserve"> </w:t>
      </w:r>
      <w:r>
        <w:t>la base de ces éléments de preuve.</w:t>
      </w:r>
    </w:p>
    <w:p w14:paraId="0F3FE9EB" w14:textId="77777777" w:rsidR="00E32F98" w:rsidRDefault="00E32F98">
      <w:pPr>
        <w:pStyle w:val="Corpsdetexte"/>
      </w:pPr>
    </w:p>
    <w:p w14:paraId="21FD91A6" w14:textId="77777777" w:rsidR="00E32F98" w:rsidRDefault="00E32F98">
      <w:pPr>
        <w:pStyle w:val="Corpsdetexte"/>
        <w:spacing w:before="6"/>
      </w:pPr>
    </w:p>
    <w:p w14:paraId="17C94667" w14:textId="77777777" w:rsidR="00E32F98" w:rsidRDefault="00000000">
      <w:pPr>
        <w:pStyle w:val="Titre1"/>
        <w:jc w:val="both"/>
      </w:pPr>
      <w:r>
        <w:t>LES</w:t>
      </w:r>
      <w:r>
        <w:rPr>
          <w:spacing w:val="6"/>
        </w:rPr>
        <w:t xml:space="preserve"> </w:t>
      </w:r>
      <w:r>
        <w:t>ÉLÉMENTS</w:t>
      </w:r>
      <w:r>
        <w:rPr>
          <w:spacing w:val="-10"/>
        </w:rPr>
        <w:t xml:space="preserve"> </w:t>
      </w:r>
      <w:r>
        <w:t>DE</w:t>
      </w:r>
      <w:r>
        <w:rPr>
          <w:spacing w:val="-11"/>
        </w:rPr>
        <w:t xml:space="preserve"> </w:t>
      </w:r>
      <w:r>
        <w:t>PREUVE</w:t>
      </w:r>
      <w:r>
        <w:rPr>
          <w:spacing w:val="-10"/>
        </w:rPr>
        <w:t xml:space="preserve"> </w:t>
      </w:r>
      <w:r>
        <w:t>VERSÉS</w:t>
      </w:r>
      <w:r>
        <w:rPr>
          <w:spacing w:val="-11"/>
        </w:rPr>
        <w:t xml:space="preserve"> </w:t>
      </w:r>
      <w:r>
        <w:t>AU</w:t>
      </w:r>
      <w:r>
        <w:rPr>
          <w:spacing w:val="10"/>
        </w:rPr>
        <w:t xml:space="preserve"> </w:t>
      </w:r>
      <w:r>
        <w:rPr>
          <w:spacing w:val="-2"/>
        </w:rPr>
        <w:t>DOSSIER</w:t>
      </w:r>
    </w:p>
    <w:p w14:paraId="1F9EA0A2" w14:textId="77777777" w:rsidR="00E32F98" w:rsidRDefault="00E32F98">
      <w:pPr>
        <w:pStyle w:val="Corpsdetexte"/>
        <w:spacing w:before="5"/>
        <w:rPr>
          <w:rFonts w:ascii="Arial"/>
          <w:b/>
        </w:rPr>
      </w:pPr>
    </w:p>
    <w:p w14:paraId="238517B5" w14:textId="77777777" w:rsidR="00E32F98" w:rsidRDefault="00000000">
      <w:pPr>
        <w:pStyle w:val="Corpsdetexte"/>
        <w:ind w:left="166" w:right="154"/>
        <w:jc w:val="both"/>
      </w:pPr>
      <w:r>
        <w:t>La division d’annulation juge approprié d’examiner tous les éléments de preuve versés au dossier</w:t>
      </w:r>
      <w:r>
        <w:rPr>
          <w:spacing w:val="-14"/>
        </w:rPr>
        <w:t xml:space="preserve"> </w:t>
      </w:r>
      <w:r>
        <w:t>ci-après.</w:t>
      </w:r>
    </w:p>
    <w:p w14:paraId="43EB3EB7" w14:textId="77777777" w:rsidR="00E32F98" w:rsidRDefault="00E32F98">
      <w:pPr>
        <w:pStyle w:val="Corpsdetexte"/>
        <w:spacing w:before="10"/>
      </w:pPr>
    </w:p>
    <w:p w14:paraId="32D1C2A8" w14:textId="77777777" w:rsidR="00E32F98" w:rsidRDefault="00000000">
      <w:pPr>
        <w:pStyle w:val="Corpsdetexte"/>
        <w:spacing w:line="235" w:lineRule="auto"/>
        <w:ind w:left="166" w:right="161"/>
        <w:jc w:val="both"/>
      </w:pPr>
      <w:r>
        <w:t xml:space="preserve">Les 31/03/2023 et 04/04/2023, la demanderesse a produit des éléments de preuve concernant sa revendication de renommée. Les éléments de preuve produits sont les </w:t>
      </w:r>
      <w:r>
        <w:rPr>
          <w:spacing w:val="-2"/>
        </w:rPr>
        <w:t>suivants:</w:t>
      </w:r>
    </w:p>
    <w:p w14:paraId="34256825" w14:textId="77777777" w:rsidR="00E32F98" w:rsidRDefault="00E32F98">
      <w:pPr>
        <w:pStyle w:val="Corpsdetexte"/>
        <w:spacing w:before="5"/>
      </w:pPr>
    </w:p>
    <w:p w14:paraId="1A19275D" w14:textId="77777777" w:rsidR="00E32F98" w:rsidRDefault="00000000">
      <w:pPr>
        <w:spacing w:line="242" w:lineRule="auto"/>
        <w:ind w:left="166" w:right="146"/>
        <w:jc w:val="both"/>
      </w:pPr>
      <w:r>
        <w:rPr>
          <w:rFonts w:ascii="Arial" w:hAnsi="Arial"/>
          <w:b/>
        </w:rPr>
        <w:t xml:space="preserve">Pièce 1: </w:t>
      </w:r>
      <w:r>
        <w:t>extraits de classements, à</w:t>
      </w:r>
      <w:r>
        <w:rPr>
          <w:spacing w:val="-5"/>
        </w:rPr>
        <w:t xml:space="preserve"> </w:t>
      </w:r>
      <w:r>
        <w:t>savoir:</w:t>
      </w:r>
      <w:r>
        <w:rPr>
          <w:spacing w:val="-2"/>
        </w:rPr>
        <w:t xml:space="preserve"> </w:t>
      </w:r>
      <w:r>
        <w:t xml:space="preserve">de </w:t>
      </w:r>
      <w:r>
        <w:rPr>
          <w:rFonts w:ascii="Arial" w:hAnsi="Arial"/>
          <w:i/>
        </w:rPr>
        <w:t>Brandfinance</w:t>
      </w:r>
      <w:r>
        <w:rPr>
          <w:rFonts w:ascii="Arial" w:hAnsi="Arial"/>
          <w:i/>
          <w:spacing w:val="-5"/>
        </w:rPr>
        <w:t xml:space="preserve"> </w:t>
      </w:r>
      <w:r>
        <w:rPr>
          <w:rFonts w:ascii="Arial" w:hAnsi="Arial"/>
          <w:i/>
        </w:rPr>
        <w:t>Luxury majoritaire</w:t>
      </w:r>
      <w:r>
        <w:rPr>
          <w:rFonts w:ascii="Arial" w:hAnsi="Arial"/>
          <w:i/>
          <w:spacing w:val="-5"/>
        </w:rPr>
        <w:t xml:space="preserve"> </w:t>
      </w:r>
      <w:r>
        <w:rPr>
          <w:rFonts w:ascii="Arial" w:hAnsi="Arial"/>
          <w:i/>
        </w:rPr>
        <w:t>Premium 50</w:t>
      </w:r>
      <w:r>
        <w:t>, où «Moncler» a été classé à la 25e position en 2 018.23e position en 2019, 20e en 2020, 21er</w:t>
      </w:r>
      <w:r>
        <w:rPr>
          <w:spacing w:val="23"/>
        </w:rPr>
        <w:t xml:space="preserve"> </w:t>
      </w:r>
      <w:r>
        <w:t>en</w:t>
      </w:r>
      <w:r>
        <w:rPr>
          <w:spacing w:val="18"/>
        </w:rPr>
        <w:t xml:space="preserve"> </w:t>
      </w:r>
      <w:r>
        <w:t>2021</w:t>
      </w:r>
      <w:r>
        <w:rPr>
          <w:spacing w:val="18"/>
        </w:rPr>
        <w:t xml:space="preserve"> </w:t>
      </w:r>
      <w:r>
        <w:t>et</w:t>
      </w:r>
      <w:r>
        <w:rPr>
          <w:spacing w:val="21"/>
        </w:rPr>
        <w:t xml:space="preserve"> </w:t>
      </w:r>
      <w:r>
        <w:t>18e</w:t>
      </w:r>
      <w:r>
        <w:rPr>
          <w:spacing w:val="18"/>
        </w:rPr>
        <w:t xml:space="preserve"> </w:t>
      </w:r>
      <w:r>
        <w:t>en</w:t>
      </w:r>
      <w:r>
        <w:rPr>
          <w:spacing w:val="18"/>
        </w:rPr>
        <w:t xml:space="preserve"> </w:t>
      </w:r>
      <w:r>
        <w:t>2022,</w:t>
      </w:r>
      <w:r>
        <w:rPr>
          <w:spacing w:val="21"/>
        </w:rPr>
        <w:t xml:space="preserve"> </w:t>
      </w:r>
      <w:r>
        <w:t>ainsi</w:t>
      </w:r>
      <w:r>
        <w:rPr>
          <w:spacing w:val="18"/>
        </w:rPr>
        <w:t xml:space="preserve"> </w:t>
      </w:r>
      <w:r>
        <w:t>qu’à</w:t>
      </w:r>
      <w:r>
        <w:rPr>
          <w:spacing w:val="18"/>
        </w:rPr>
        <w:t xml:space="preserve"> </w:t>
      </w:r>
      <w:r>
        <w:t>partir</w:t>
      </w:r>
      <w:r>
        <w:rPr>
          <w:spacing w:val="23"/>
        </w:rPr>
        <w:t xml:space="preserve"> </w:t>
      </w:r>
      <w:r>
        <w:t>de</w:t>
      </w:r>
      <w:r>
        <w:rPr>
          <w:spacing w:val="18"/>
        </w:rPr>
        <w:t xml:space="preserve"> </w:t>
      </w:r>
      <w:r>
        <w:t>l’indice</w:t>
      </w:r>
      <w:r>
        <w:rPr>
          <w:spacing w:val="30"/>
        </w:rPr>
        <w:t xml:space="preserve"> </w:t>
      </w:r>
      <w:r>
        <w:rPr>
          <w:rFonts w:ascii="Arial" w:hAnsi="Arial"/>
          <w:i/>
        </w:rPr>
        <w:t>FashionUnited</w:t>
      </w:r>
      <w:r>
        <w:rPr>
          <w:rFonts w:ascii="Arial" w:hAnsi="Arial"/>
          <w:i/>
          <w:spacing w:val="18"/>
        </w:rPr>
        <w:t xml:space="preserve"> </w:t>
      </w:r>
      <w:r>
        <w:rPr>
          <w:rFonts w:ascii="Arial" w:hAnsi="Arial"/>
          <w:i/>
        </w:rPr>
        <w:t>Index</w:t>
      </w:r>
      <w:r>
        <w:rPr>
          <w:rFonts w:ascii="Arial" w:hAnsi="Arial"/>
          <w:i/>
          <w:spacing w:val="20"/>
        </w:rPr>
        <w:t xml:space="preserve"> </w:t>
      </w:r>
      <w:r>
        <w:t>de mode le</w:t>
      </w:r>
    </w:p>
    <w:p w14:paraId="5207DF0B" w14:textId="77777777" w:rsidR="00E32F98" w:rsidRDefault="00E32F98">
      <w:pPr>
        <w:spacing w:line="242" w:lineRule="auto"/>
        <w:jc w:val="both"/>
        <w:sectPr w:rsidR="00E32F98">
          <w:headerReference w:type="default" r:id="rId9"/>
          <w:pgSz w:w="11910" w:h="16850"/>
          <w:pgMar w:top="1000" w:right="1275" w:bottom="280" w:left="1275" w:header="727" w:footer="0" w:gutter="0"/>
          <w:cols w:space="720"/>
        </w:sectPr>
      </w:pPr>
    </w:p>
    <w:p w14:paraId="1304950C" w14:textId="77777777" w:rsidR="00E32F98" w:rsidRDefault="00000000">
      <w:pPr>
        <w:pStyle w:val="Corpsdetexte"/>
        <w:spacing w:before="186"/>
      </w:pPr>
      <w:r>
        <w:rPr>
          <w:noProof/>
        </w:rPr>
        <w:lastRenderedPageBreak/>
        <mc:AlternateContent>
          <mc:Choice Requires="wps">
            <w:drawing>
              <wp:anchor distT="0" distB="0" distL="0" distR="0" simplePos="0" relativeHeight="15730688" behindDoc="0" locked="0" layoutInCell="1" allowOverlap="1" wp14:anchorId="7A2C507D" wp14:editId="1118D282">
                <wp:simplePos x="0" y="0"/>
                <wp:positionH relativeFrom="page">
                  <wp:posOffset>270575</wp:posOffset>
                </wp:positionH>
                <wp:positionV relativeFrom="page">
                  <wp:posOffset>1118555</wp:posOffset>
                </wp:positionV>
                <wp:extent cx="146050" cy="921004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1C13E564"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30688" type="#_x0000_t202" id="docshape14"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31D69DFD" w14:textId="77777777" w:rsidR="00E32F98" w:rsidRDefault="00000000">
      <w:pPr>
        <w:spacing w:line="242" w:lineRule="auto"/>
        <w:ind w:left="166" w:right="155"/>
        <w:jc w:val="both"/>
      </w:pPr>
      <w:r>
        <w:rPr>
          <w:rFonts w:ascii="Arial" w:hAnsi="Arial"/>
          <w:i/>
        </w:rPr>
        <w:t>plus reconnu (par valeur de marque)</w:t>
      </w:r>
      <w:r>
        <w:t>, où «Moncler» a été positionné en 12e position en 2020. La pièce contient également les articles suivants:</w:t>
      </w:r>
    </w:p>
    <w:p w14:paraId="1177C855" w14:textId="77777777" w:rsidR="00E32F98" w:rsidRDefault="00000000">
      <w:pPr>
        <w:pStyle w:val="Paragraphedeliste"/>
        <w:numPr>
          <w:ilvl w:val="0"/>
          <w:numId w:val="4"/>
        </w:numPr>
        <w:tabs>
          <w:tab w:val="left" w:pos="887"/>
        </w:tabs>
        <w:spacing w:before="239" w:line="242" w:lineRule="auto"/>
        <w:ind w:right="156"/>
        <w:jc w:val="both"/>
      </w:pPr>
      <w:r>
        <w:t xml:space="preserve">un article intitulé «The Most-Searched Brands of 2021 (So now) indique un retour à haute mode», daté du 10/05/2021, publié dans </w:t>
      </w:r>
      <w:r>
        <w:rPr>
          <w:rFonts w:ascii="Arial" w:hAnsi="Arial"/>
          <w:i/>
        </w:rPr>
        <w:t>Vogue</w:t>
      </w:r>
      <w:r>
        <w:t>, avec une discussion sur les marques</w:t>
      </w:r>
      <w:r>
        <w:rPr>
          <w:spacing w:val="40"/>
        </w:rPr>
        <w:t xml:space="preserve"> </w:t>
      </w:r>
      <w:r>
        <w:t>trend</w:t>
      </w:r>
      <w:r>
        <w:rPr>
          <w:spacing w:val="40"/>
        </w:rPr>
        <w:t xml:space="preserve"> </w:t>
      </w:r>
      <w:r>
        <w:t>en</w:t>
      </w:r>
      <w:r>
        <w:rPr>
          <w:spacing w:val="38"/>
        </w:rPr>
        <w:t xml:space="preserve"> </w:t>
      </w:r>
      <w:r>
        <w:t>2021,</w:t>
      </w:r>
      <w:r>
        <w:rPr>
          <w:spacing w:val="40"/>
        </w:rPr>
        <w:t xml:space="preserve"> </w:t>
      </w:r>
      <w:r>
        <w:t>selon</w:t>
      </w:r>
      <w:r>
        <w:rPr>
          <w:spacing w:val="38"/>
        </w:rPr>
        <w:t xml:space="preserve"> </w:t>
      </w:r>
      <w:r>
        <w:t>la</w:t>
      </w:r>
      <w:r>
        <w:rPr>
          <w:spacing w:val="38"/>
        </w:rPr>
        <w:t xml:space="preserve"> </w:t>
      </w:r>
      <w:r>
        <w:t>plateforme</w:t>
      </w:r>
      <w:r>
        <w:rPr>
          <w:spacing w:val="38"/>
        </w:rPr>
        <w:t xml:space="preserve"> </w:t>
      </w:r>
      <w:r>
        <w:t>Lyst</w:t>
      </w:r>
      <w:r>
        <w:rPr>
          <w:spacing w:val="40"/>
        </w:rPr>
        <w:t xml:space="preserve"> </w:t>
      </w:r>
      <w:r>
        <w:rPr>
          <w:rFonts w:ascii="Arial" w:hAnsi="Arial"/>
          <w:i/>
        </w:rPr>
        <w:t>(</w:t>
      </w:r>
      <w:r>
        <w:rPr>
          <w:rFonts w:ascii="Arial" w:hAnsi="Arial"/>
          <w:i/>
          <w:spacing w:val="40"/>
        </w:rPr>
        <w:t xml:space="preserve"> </w:t>
      </w:r>
      <w:r>
        <w:t>plateforme</w:t>
      </w:r>
      <w:r>
        <w:rPr>
          <w:spacing w:val="38"/>
        </w:rPr>
        <w:t xml:space="preserve"> </w:t>
      </w:r>
      <w:r>
        <w:t>commerciale</w:t>
      </w:r>
      <w:r>
        <w:rPr>
          <w:spacing w:val="38"/>
        </w:rPr>
        <w:t xml:space="preserve"> </w:t>
      </w:r>
      <w:r>
        <w:t>avec 12</w:t>
      </w:r>
      <w:r>
        <w:rPr>
          <w:spacing w:val="-7"/>
        </w:rPr>
        <w:t xml:space="preserve"> </w:t>
      </w:r>
      <w:r>
        <w:t>000 marques et boutiques, analysant et combinant les achats sur sa plateforme avec les données de recherche et les médias sociaux de Google pour présenter les étiquettes les plus achetées)</w:t>
      </w:r>
      <w:r>
        <w:rPr>
          <w:spacing w:val="-12"/>
        </w:rPr>
        <w:t xml:space="preserve"> </w:t>
      </w:r>
      <w:r>
        <w:t>et «Moncler»</w:t>
      </w:r>
      <w:r>
        <w:rPr>
          <w:spacing w:val="33"/>
        </w:rPr>
        <w:t xml:space="preserve"> </w:t>
      </w:r>
      <w:r>
        <w:t>dans la</w:t>
      </w:r>
      <w:r>
        <w:rPr>
          <w:spacing w:val="-1"/>
        </w:rPr>
        <w:t xml:space="preserve"> </w:t>
      </w:r>
      <w:r>
        <w:t>5e position</w:t>
      </w:r>
      <w:r>
        <w:rPr>
          <w:spacing w:val="-1"/>
        </w:rPr>
        <w:t xml:space="preserve"> </w:t>
      </w:r>
      <w:r>
        <w:t>avec ses</w:t>
      </w:r>
      <w:r>
        <w:rPr>
          <w:spacing w:val="-3"/>
        </w:rPr>
        <w:t xml:space="preserve"> </w:t>
      </w:r>
      <w:r>
        <w:t>vestes.</w:t>
      </w:r>
    </w:p>
    <w:p w14:paraId="3B4D1B0D" w14:textId="77777777" w:rsidR="00E32F98" w:rsidRDefault="00E32F98">
      <w:pPr>
        <w:pStyle w:val="Corpsdetexte"/>
        <w:spacing w:before="1"/>
      </w:pPr>
    </w:p>
    <w:p w14:paraId="1813A814" w14:textId="77777777" w:rsidR="00E32F98" w:rsidRDefault="00000000">
      <w:pPr>
        <w:pStyle w:val="Paragraphedeliste"/>
        <w:numPr>
          <w:ilvl w:val="0"/>
          <w:numId w:val="4"/>
        </w:numPr>
        <w:tabs>
          <w:tab w:val="left" w:pos="887"/>
        </w:tabs>
        <w:ind w:right="147"/>
        <w:jc w:val="both"/>
      </w:pPr>
      <w:r>
        <w:t xml:space="preserve">un article intitulé «Top Fashion Brands in the world — Top 100 in 2023», publié en janvier 2023 dans </w:t>
      </w:r>
      <w:r>
        <w:rPr>
          <w:rFonts w:ascii="Arial" w:hAnsi="Arial"/>
          <w:i/>
        </w:rPr>
        <w:t xml:space="preserve">The Vou ( </w:t>
      </w:r>
      <w:r>
        <w:t xml:space="preserve">la revue est curée et compilée en collaboration avec </w:t>
      </w:r>
      <w:r>
        <w:rPr>
          <w:rFonts w:ascii="Arial" w:hAnsi="Arial"/>
          <w:i/>
        </w:rPr>
        <w:t>Statista</w:t>
      </w:r>
      <w:r>
        <w:t xml:space="preserve">, Mintel </w:t>
      </w:r>
      <w:r>
        <w:rPr>
          <w:rFonts w:ascii="Arial" w:hAnsi="Arial"/>
          <w:i/>
        </w:rPr>
        <w:t>et CB Insights</w:t>
      </w:r>
      <w:r>
        <w:t>, comportant les 100 marques de mode les plus branchées et les plus vendues), dans lequel «Moncler» se classe 14e, décrite</w:t>
      </w:r>
      <w:r>
        <w:rPr>
          <w:spacing w:val="40"/>
        </w:rPr>
        <w:t xml:space="preserve"> </w:t>
      </w:r>
      <w:r>
        <w:t>comme «l’un des noms de vêtements les plus couverts, facilement reconnus et piratés dans le monde</w:t>
      </w:r>
      <w:r>
        <w:rPr>
          <w:spacing w:val="-1"/>
        </w:rPr>
        <w:t xml:space="preserve"> </w:t>
      </w:r>
      <w:r>
        <w:t>entier».</w:t>
      </w:r>
    </w:p>
    <w:p w14:paraId="4523BF63" w14:textId="77777777" w:rsidR="00E32F98" w:rsidRDefault="00E32F98">
      <w:pPr>
        <w:pStyle w:val="Corpsdetexte"/>
        <w:spacing w:before="11"/>
      </w:pPr>
    </w:p>
    <w:p w14:paraId="077214AE" w14:textId="77777777" w:rsidR="00E32F98" w:rsidRDefault="00000000">
      <w:pPr>
        <w:pStyle w:val="Corpsdetexte"/>
        <w:spacing w:line="228" w:lineRule="auto"/>
        <w:ind w:left="166" w:right="148"/>
        <w:jc w:val="both"/>
      </w:pPr>
      <w:r>
        <w:rPr>
          <w:rFonts w:ascii="Arial" w:hAnsi="Arial"/>
          <w:b/>
        </w:rPr>
        <w:t xml:space="preserve">Pièce 2: </w:t>
      </w:r>
      <w:r>
        <w:t xml:space="preserve">extraits de classements, à savoir: de </w:t>
      </w:r>
      <w:r>
        <w:rPr>
          <w:rFonts w:ascii="Arial" w:hAnsi="Arial"/>
          <w:i/>
        </w:rPr>
        <w:t xml:space="preserve">Brandfinance Italy 50, </w:t>
      </w:r>
      <w:r>
        <w:t>où «Moncler» a été classé</w:t>
      </w:r>
      <w:r>
        <w:rPr>
          <w:spacing w:val="19"/>
        </w:rPr>
        <w:t xml:space="preserve"> </w:t>
      </w:r>
      <w:r>
        <w:t>20e</w:t>
      </w:r>
      <w:r>
        <w:rPr>
          <w:spacing w:val="19"/>
        </w:rPr>
        <w:t xml:space="preserve"> </w:t>
      </w:r>
      <w:r>
        <w:t>en</w:t>
      </w:r>
      <w:r>
        <w:rPr>
          <w:spacing w:val="19"/>
        </w:rPr>
        <w:t xml:space="preserve"> </w:t>
      </w:r>
      <w:r>
        <w:t>2014,</w:t>
      </w:r>
      <w:r>
        <w:rPr>
          <w:spacing w:val="22"/>
        </w:rPr>
        <w:t xml:space="preserve"> </w:t>
      </w:r>
      <w:r>
        <w:t>29e</w:t>
      </w:r>
      <w:r>
        <w:rPr>
          <w:spacing w:val="19"/>
        </w:rPr>
        <w:t xml:space="preserve"> </w:t>
      </w:r>
      <w:r>
        <w:t>en</w:t>
      </w:r>
      <w:r>
        <w:rPr>
          <w:spacing w:val="19"/>
        </w:rPr>
        <w:t xml:space="preserve"> </w:t>
      </w:r>
      <w:r>
        <w:t>2</w:t>
      </w:r>
      <w:r>
        <w:rPr>
          <w:spacing w:val="-3"/>
        </w:rPr>
        <w:t xml:space="preserve"> </w:t>
      </w:r>
      <w:r>
        <w:t>015.23e</w:t>
      </w:r>
      <w:r>
        <w:rPr>
          <w:spacing w:val="19"/>
        </w:rPr>
        <w:t xml:space="preserve"> </w:t>
      </w:r>
      <w:r>
        <w:t>en</w:t>
      </w:r>
      <w:r>
        <w:rPr>
          <w:spacing w:val="19"/>
        </w:rPr>
        <w:t xml:space="preserve"> </w:t>
      </w:r>
      <w:r>
        <w:t>2016,</w:t>
      </w:r>
      <w:r>
        <w:rPr>
          <w:spacing w:val="22"/>
        </w:rPr>
        <w:t xml:space="preserve"> </w:t>
      </w:r>
      <w:r>
        <w:t>21er en 2017, 17e en 2018, 15e en 2019,</w:t>
      </w:r>
    </w:p>
    <w:p w14:paraId="3E901746" w14:textId="77777777" w:rsidR="00E32F98" w:rsidRDefault="00000000">
      <w:pPr>
        <w:pStyle w:val="Corpsdetexte"/>
        <w:spacing w:before="5"/>
        <w:ind w:left="166"/>
        <w:jc w:val="both"/>
      </w:pPr>
      <w:r>
        <w:t>16e</w:t>
      </w:r>
      <w:r>
        <w:rPr>
          <w:spacing w:val="3"/>
        </w:rPr>
        <w:t xml:space="preserve"> </w:t>
      </w:r>
      <w:r>
        <w:t>en</w:t>
      </w:r>
      <w:r>
        <w:rPr>
          <w:spacing w:val="-11"/>
        </w:rPr>
        <w:t xml:space="preserve"> </w:t>
      </w:r>
      <w:r>
        <w:t>2020</w:t>
      </w:r>
      <w:r>
        <w:rPr>
          <w:spacing w:val="4"/>
        </w:rPr>
        <w:t xml:space="preserve"> </w:t>
      </w:r>
      <w:r>
        <w:t>et</w:t>
      </w:r>
      <w:r>
        <w:rPr>
          <w:spacing w:val="-8"/>
        </w:rPr>
        <w:t xml:space="preserve"> </w:t>
      </w:r>
      <w:r>
        <w:t>2021</w:t>
      </w:r>
      <w:r>
        <w:rPr>
          <w:spacing w:val="4"/>
        </w:rPr>
        <w:t xml:space="preserve"> </w:t>
      </w:r>
      <w:r>
        <w:t>et</w:t>
      </w:r>
      <w:r>
        <w:rPr>
          <w:spacing w:val="-8"/>
        </w:rPr>
        <w:t xml:space="preserve"> </w:t>
      </w:r>
      <w:r>
        <w:t>13e</w:t>
      </w:r>
      <w:r>
        <w:rPr>
          <w:spacing w:val="3"/>
        </w:rPr>
        <w:t xml:space="preserve"> </w:t>
      </w:r>
      <w:r>
        <w:t>en</w:t>
      </w:r>
      <w:r>
        <w:rPr>
          <w:spacing w:val="-10"/>
        </w:rPr>
        <w:t xml:space="preserve"> </w:t>
      </w:r>
      <w:r>
        <w:rPr>
          <w:spacing w:val="-2"/>
        </w:rPr>
        <w:t>2022.</w:t>
      </w:r>
    </w:p>
    <w:p w14:paraId="38D9BDE2" w14:textId="77777777" w:rsidR="00E32F98" w:rsidRDefault="00E32F98">
      <w:pPr>
        <w:pStyle w:val="Corpsdetexte"/>
        <w:spacing w:before="4"/>
      </w:pPr>
    </w:p>
    <w:p w14:paraId="14565EB2" w14:textId="77777777" w:rsidR="00E32F98" w:rsidRDefault="00000000">
      <w:pPr>
        <w:pStyle w:val="Corpsdetexte"/>
        <w:spacing w:line="242" w:lineRule="auto"/>
        <w:ind w:left="166" w:right="149"/>
        <w:jc w:val="both"/>
      </w:pPr>
      <w:r>
        <w:rPr>
          <w:rFonts w:ascii="Arial" w:hAnsi="Arial"/>
          <w:b/>
        </w:rPr>
        <w:t xml:space="preserve">Pièce 3: </w:t>
      </w:r>
      <w:r>
        <w:t xml:space="preserve">extraits du site web </w:t>
      </w:r>
      <w:hyperlink r:id="rId10">
        <w:r>
          <w:t>www.monclergroup.com</w:t>
        </w:r>
      </w:hyperlink>
      <w:r>
        <w:rPr>
          <w:spacing w:val="40"/>
        </w:rPr>
        <w:t xml:space="preserve"> </w:t>
      </w:r>
      <w:r>
        <w:t>(2023), fournissant des informations générales sur la marque — son origine en tant qu’abréviation de «Monestier-de-Clermont», un village montagneux près de Grenoble, et son développement d’une marque tournée vers l’montagne vers une marque de luxe.</w:t>
      </w:r>
    </w:p>
    <w:p w14:paraId="507B931A" w14:textId="77777777" w:rsidR="00E32F98" w:rsidRDefault="00000000">
      <w:pPr>
        <w:pStyle w:val="Corpsdetexte"/>
        <w:spacing w:before="239" w:line="242" w:lineRule="auto"/>
        <w:ind w:left="166" w:right="156"/>
        <w:jc w:val="both"/>
      </w:pPr>
      <w:r>
        <w:rPr>
          <w:rFonts w:ascii="Arial" w:hAnsi="Arial"/>
          <w:b/>
        </w:rPr>
        <w:t xml:space="preserve">Pièces 4 à 8 et 10: </w:t>
      </w:r>
      <w:r>
        <w:t>documents relatifs à l’établissement et au</w:t>
      </w:r>
      <w:r>
        <w:rPr>
          <w:spacing w:val="-7"/>
        </w:rPr>
        <w:t xml:space="preserve"> </w:t>
      </w:r>
      <w:r>
        <w:t>développement</w:t>
      </w:r>
      <w:r>
        <w:rPr>
          <w:spacing w:val="-4"/>
        </w:rPr>
        <w:t xml:space="preserve"> </w:t>
      </w:r>
      <w:r>
        <w:t>de</w:t>
      </w:r>
      <w:r>
        <w:rPr>
          <w:spacing w:val="-7"/>
        </w:rPr>
        <w:t xml:space="preserve"> </w:t>
      </w:r>
      <w:r>
        <w:t>la</w:t>
      </w:r>
      <w:r>
        <w:rPr>
          <w:spacing w:val="-7"/>
        </w:rPr>
        <w:t xml:space="preserve"> </w:t>
      </w:r>
      <w:r>
        <w:t>marque depuis ses premières années, en particulier:</w:t>
      </w:r>
    </w:p>
    <w:p w14:paraId="2FC72E61" w14:textId="77777777" w:rsidR="00E32F98" w:rsidRDefault="00E32F98">
      <w:pPr>
        <w:pStyle w:val="Corpsdetexte"/>
        <w:spacing w:before="2"/>
      </w:pPr>
    </w:p>
    <w:p w14:paraId="074B023A" w14:textId="77777777" w:rsidR="00E32F98" w:rsidRDefault="00000000">
      <w:pPr>
        <w:pStyle w:val="Paragraphedeliste"/>
        <w:numPr>
          <w:ilvl w:val="0"/>
          <w:numId w:val="4"/>
        </w:numPr>
        <w:tabs>
          <w:tab w:val="left" w:pos="887"/>
        </w:tabs>
        <w:ind w:right="146"/>
        <w:jc w:val="both"/>
      </w:pPr>
      <w:r>
        <w:t>extraits du livre «Monestier-de-Clermont, terre d’entrepreneurs» (en français, copie d’un prix de 30</w:t>
      </w:r>
      <w:r>
        <w:rPr>
          <w:spacing w:val="-5"/>
        </w:rPr>
        <w:t xml:space="preserve"> </w:t>
      </w:r>
      <w:r>
        <w:t>EUR), comprenant, entre autres, l’histoire de la marque «Moncler»</w:t>
      </w:r>
      <w:r>
        <w:rPr>
          <w:spacing w:val="-9"/>
        </w:rPr>
        <w:t xml:space="preserve"> </w:t>
      </w:r>
      <w:r>
        <w:t xml:space="preserve">et fournissant des références visuelles contenant la marque et une publicité, datée de 1952, comme suit: </w:t>
      </w:r>
      <w:r>
        <w:rPr>
          <w:noProof/>
          <w:spacing w:val="10"/>
          <w:position w:val="2"/>
        </w:rPr>
        <w:drawing>
          <wp:inline distT="0" distB="0" distL="0" distR="0" wp14:anchorId="00508BE3" wp14:editId="2D1341F5">
            <wp:extent cx="2099310" cy="1418717"/>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2099310" cy="1418717"/>
                    </a:xfrm>
                    <a:prstGeom prst="rect">
                      <a:avLst/>
                    </a:prstGeom>
                  </pic:spPr>
                </pic:pic>
              </a:graphicData>
            </a:graphic>
          </wp:inline>
        </w:drawing>
      </w:r>
      <w:r>
        <w:t>; accompagnée d’une facture, concernant la marque (en français), datée du 16/08/1965.</w:t>
      </w:r>
    </w:p>
    <w:p w14:paraId="63A12D61" w14:textId="77777777" w:rsidR="00E32F98" w:rsidRDefault="00000000">
      <w:pPr>
        <w:pStyle w:val="Paragraphedeliste"/>
        <w:numPr>
          <w:ilvl w:val="0"/>
          <w:numId w:val="4"/>
        </w:numPr>
        <w:tabs>
          <w:tab w:val="left" w:pos="886"/>
        </w:tabs>
        <w:spacing w:line="232" w:lineRule="exact"/>
        <w:ind w:left="886" w:hanging="359"/>
        <w:jc w:val="both"/>
      </w:pPr>
      <w:r>
        <w:t>des</w:t>
      </w:r>
      <w:r>
        <w:rPr>
          <w:spacing w:val="32"/>
        </w:rPr>
        <w:t xml:space="preserve"> </w:t>
      </w:r>
      <w:r>
        <w:t>documents</w:t>
      </w:r>
      <w:r>
        <w:rPr>
          <w:spacing w:val="32"/>
        </w:rPr>
        <w:t xml:space="preserve"> </w:t>
      </w:r>
      <w:r>
        <w:t>en</w:t>
      </w:r>
      <w:r>
        <w:rPr>
          <w:spacing w:val="20"/>
        </w:rPr>
        <w:t xml:space="preserve"> </w:t>
      </w:r>
      <w:r>
        <w:t>français,</w:t>
      </w:r>
      <w:r>
        <w:rPr>
          <w:spacing w:val="23"/>
        </w:rPr>
        <w:t xml:space="preserve"> </w:t>
      </w:r>
      <w:r>
        <w:t>qui,</w:t>
      </w:r>
      <w:r>
        <w:rPr>
          <w:spacing w:val="24"/>
        </w:rPr>
        <w:t xml:space="preserve"> </w:t>
      </w:r>
      <w:r>
        <w:t>selon</w:t>
      </w:r>
      <w:r>
        <w:rPr>
          <w:spacing w:val="6"/>
        </w:rPr>
        <w:t xml:space="preserve"> </w:t>
      </w:r>
      <w:r>
        <w:t>la</w:t>
      </w:r>
      <w:r>
        <w:rPr>
          <w:spacing w:val="5"/>
        </w:rPr>
        <w:t xml:space="preserve"> </w:t>
      </w:r>
      <w:r>
        <w:t>demanderesse,</w:t>
      </w:r>
      <w:r>
        <w:rPr>
          <w:spacing w:val="9"/>
        </w:rPr>
        <w:t xml:space="preserve"> </w:t>
      </w:r>
      <w:r>
        <w:t>démontrent</w:t>
      </w:r>
      <w:r>
        <w:rPr>
          <w:spacing w:val="9"/>
        </w:rPr>
        <w:t xml:space="preserve"> </w:t>
      </w:r>
      <w:r>
        <w:t>que:</w:t>
      </w:r>
      <w:r>
        <w:rPr>
          <w:spacing w:val="9"/>
        </w:rPr>
        <w:t xml:space="preserve"> </w:t>
      </w:r>
      <w:r>
        <w:t>en</w:t>
      </w:r>
      <w:r>
        <w:rPr>
          <w:spacing w:val="6"/>
        </w:rPr>
        <w:t xml:space="preserve"> </w:t>
      </w:r>
      <w:r>
        <w:rPr>
          <w:spacing w:val="-2"/>
        </w:rPr>
        <w:t>1954,</w:t>
      </w:r>
    </w:p>
    <w:p w14:paraId="3956D8ED" w14:textId="77777777" w:rsidR="00E32F98" w:rsidRDefault="00000000">
      <w:pPr>
        <w:pStyle w:val="Corpsdetexte"/>
        <w:spacing w:before="2"/>
        <w:ind w:left="887" w:right="145"/>
        <w:jc w:val="both"/>
      </w:pPr>
      <w:r>
        <w:t>des vestes en duvet «Moncler» ont été choisies pour équiper la gestion d’affaires italiennes, ce qui a abouti à la conquête du deuxième pic sur la terre par Achille Compagnoni et Lino Lacedelli; en 1955, des vestes en duvet «Moncler» ont accompagné l’expédition française qui conquait Makalu (cinquième montagne la</w:t>
      </w:r>
      <w:r>
        <w:rPr>
          <w:spacing w:val="-11"/>
        </w:rPr>
        <w:t xml:space="preserve"> </w:t>
      </w:r>
      <w:r>
        <w:t>plus élevée au monde); en 1964, «Moncler» était le fournisseur officiel de l’expédition à Alaska organisé par Lionel Terray; en 1968, lors</w:t>
      </w:r>
      <w:r>
        <w:rPr>
          <w:spacing w:val="40"/>
        </w:rPr>
        <w:t xml:space="preserve"> </w:t>
      </w:r>
      <w:r>
        <w:t>des olympiques d’hiver de</w:t>
      </w:r>
      <w:r>
        <w:rPr>
          <w:spacing w:val="40"/>
        </w:rPr>
        <w:t xml:space="preserve"> </w:t>
      </w:r>
      <w:r>
        <w:t xml:space="preserve">Grenoble, «Moncler» était le fournisseur officiel de l’équipe nationale de ski alpine </w:t>
      </w:r>
      <w:r>
        <w:rPr>
          <w:spacing w:val="-2"/>
        </w:rPr>
        <w:t>française.</w:t>
      </w:r>
    </w:p>
    <w:p w14:paraId="53CCCB25" w14:textId="77777777" w:rsidR="00E32F98" w:rsidRDefault="00E32F98">
      <w:pPr>
        <w:pStyle w:val="Corpsdetexte"/>
        <w:spacing w:before="5"/>
      </w:pPr>
    </w:p>
    <w:p w14:paraId="729A3C7B" w14:textId="77777777" w:rsidR="00E32F98" w:rsidRDefault="00000000">
      <w:pPr>
        <w:pStyle w:val="Corpsdetexte"/>
        <w:spacing w:line="242" w:lineRule="auto"/>
        <w:ind w:left="166" w:right="159"/>
        <w:jc w:val="both"/>
      </w:pPr>
      <w:r>
        <w:rPr>
          <w:rFonts w:ascii="Arial" w:hAnsi="Arial"/>
          <w:b/>
        </w:rPr>
        <w:t>Pièce</w:t>
      </w:r>
      <w:r>
        <w:rPr>
          <w:rFonts w:ascii="Arial" w:hAnsi="Arial"/>
          <w:b/>
          <w:spacing w:val="20"/>
        </w:rPr>
        <w:t xml:space="preserve"> </w:t>
      </w:r>
      <w:r>
        <w:rPr>
          <w:rFonts w:ascii="Arial" w:hAnsi="Arial"/>
          <w:b/>
        </w:rPr>
        <w:t>9:</w:t>
      </w:r>
      <w:r>
        <w:rPr>
          <w:rFonts w:ascii="Arial" w:hAnsi="Arial"/>
          <w:b/>
          <w:spacing w:val="-3"/>
        </w:rPr>
        <w:t xml:space="preserve"> </w:t>
      </w:r>
      <w:r>
        <w:t>un article intitulé «Moncler’s Remo Ruffini: le</w:t>
      </w:r>
      <w:r>
        <w:rPr>
          <w:spacing w:val="-9"/>
        </w:rPr>
        <w:t xml:space="preserve"> </w:t>
      </w:r>
      <w:r>
        <w:t>puff</w:t>
      </w:r>
      <w:r>
        <w:rPr>
          <w:spacing w:val="-6"/>
        </w:rPr>
        <w:t xml:space="preserve"> </w:t>
      </w:r>
      <w:r>
        <w:t>Daddy</w:t>
      </w:r>
      <w:r>
        <w:rPr>
          <w:spacing w:val="-11"/>
        </w:rPr>
        <w:t xml:space="preserve"> </w:t>
      </w:r>
      <w:r>
        <w:t>qui</w:t>
      </w:r>
      <w:r>
        <w:rPr>
          <w:spacing w:val="-9"/>
        </w:rPr>
        <w:t xml:space="preserve"> </w:t>
      </w:r>
      <w:r>
        <w:t>a</w:t>
      </w:r>
      <w:r>
        <w:rPr>
          <w:spacing w:val="-9"/>
        </w:rPr>
        <w:t xml:space="preserve"> </w:t>
      </w:r>
      <w:r>
        <w:t>fait</w:t>
      </w:r>
      <w:r>
        <w:rPr>
          <w:spacing w:val="-6"/>
        </w:rPr>
        <w:t xml:space="preserve"> </w:t>
      </w:r>
      <w:r>
        <w:t>de</w:t>
      </w:r>
      <w:r>
        <w:rPr>
          <w:spacing w:val="-9"/>
        </w:rPr>
        <w:t xml:space="preserve"> </w:t>
      </w:r>
      <w:r>
        <w:t>la</w:t>
      </w:r>
      <w:r>
        <w:rPr>
          <w:spacing w:val="-9"/>
        </w:rPr>
        <w:t xml:space="preserve"> </w:t>
      </w:r>
      <w:r>
        <w:t>veste</w:t>
      </w:r>
      <w:r>
        <w:rPr>
          <w:spacing w:val="-9"/>
        </w:rPr>
        <w:t xml:space="preserve"> </w:t>
      </w:r>
      <w:r>
        <w:t>de</w:t>
      </w:r>
      <w:r>
        <w:rPr>
          <w:spacing w:val="-9"/>
        </w:rPr>
        <w:t xml:space="preserve"> </w:t>
      </w:r>
      <w:r>
        <w:t>ski un style», publié le</w:t>
      </w:r>
      <w:r>
        <w:rPr>
          <w:spacing w:val="-11"/>
        </w:rPr>
        <w:t xml:space="preserve"> </w:t>
      </w:r>
      <w:r>
        <w:t>18/09/2015</w:t>
      </w:r>
      <w:r>
        <w:rPr>
          <w:spacing w:val="-11"/>
        </w:rPr>
        <w:t xml:space="preserve"> </w:t>
      </w:r>
      <w:r>
        <w:t>à</w:t>
      </w:r>
      <w:r>
        <w:rPr>
          <w:spacing w:val="-11"/>
        </w:rPr>
        <w:t xml:space="preserve"> </w:t>
      </w:r>
      <w:r>
        <w:t>l’adresse</w:t>
      </w:r>
      <w:r>
        <w:rPr>
          <w:spacing w:val="-3"/>
        </w:rPr>
        <w:t xml:space="preserve"> </w:t>
      </w:r>
      <w:hyperlink r:id="rId12">
        <w:r>
          <w:t>www.standard.co.uk,</w:t>
        </w:r>
      </w:hyperlink>
      <w:r>
        <w:rPr>
          <w:spacing w:val="-8"/>
        </w:rPr>
        <w:t xml:space="preserve"> </w:t>
      </w:r>
      <w:r>
        <w:t>fournissant</w:t>
      </w:r>
      <w:r>
        <w:rPr>
          <w:spacing w:val="-8"/>
        </w:rPr>
        <w:t xml:space="preserve"> </w:t>
      </w:r>
      <w:r>
        <w:t>des informations sur</w:t>
      </w:r>
      <w:r>
        <w:rPr>
          <w:spacing w:val="-7"/>
        </w:rPr>
        <w:t xml:space="preserve"> </w:t>
      </w:r>
      <w:r>
        <w:t>la marque, son établissement</w:t>
      </w:r>
      <w:r>
        <w:rPr>
          <w:spacing w:val="-10"/>
        </w:rPr>
        <w:t xml:space="preserve"> </w:t>
      </w:r>
      <w:r>
        <w:t>et son</w:t>
      </w:r>
      <w:r>
        <w:rPr>
          <w:spacing w:val="-13"/>
        </w:rPr>
        <w:t xml:space="preserve"> </w:t>
      </w:r>
      <w:r>
        <w:t>évolution</w:t>
      </w:r>
      <w:r>
        <w:rPr>
          <w:spacing w:val="40"/>
        </w:rPr>
        <w:t xml:space="preserve"> </w:t>
      </w:r>
      <w:r>
        <w:t>dans le secteur de la mode.</w:t>
      </w:r>
    </w:p>
    <w:p w14:paraId="220F260F" w14:textId="77777777" w:rsidR="00E32F98" w:rsidRDefault="00E32F98">
      <w:pPr>
        <w:pStyle w:val="Corpsdetexte"/>
        <w:spacing w:line="242" w:lineRule="auto"/>
        <w:jc w:val="both"/>
        <w:sectPr w:rsidR="00E32F98">
          <w:headerReference w:type="default" r:id="rId13"/>
          <w:pgSz w:w="11910" w:h="16850"/>
          <w:pgMar w:top="1000" w:right="1275" w:bottom="280" w:left="1275" w:header="727" w:footer="0" w:gutter="0"/>
          <w:cols w:space="720"/>
        </w:sectPr>
      </w:pPr>
    </w:p>
    <w:p w14:paraId="3A33CC2A" w14:textId="77777777" w:rsidR="00E32F98" w:rsidRDefault="00000000">
      <w:pPr>
        <w:pStyle w:val="Corpsdetexte"/>
      </w:pPr>
      <w:r>
        <w:rPr>
          <w:noProof/>
        </w:rPr>
        <w:lastRenderedPageBreak/>
        <mc:AlternateContent>
          <mc:Choice Requires="wps">
            <w:drawing>
              <wp:anchor distT="0" distB="0" distL="0" distR="0" simplePos="0" relativeHeight="15731200" behindDoc="0" locked="0" layoutInCell="1" allowOverlap="1" wp14:anchorId="56D61A36" wp14:editId="6EB87968">
                <wp:simplePos x="0" y="0"/>
                <wp:positionH relativeFrom="page">
                  <wp:posOffset>270575</wp:posOffset>
                </wp:positionH>
                <wp:positionV relativeFrom="page">
                  <wp:posOffset>1118555</wp:posOffset>
                </wp:positionV>
                <wp:extent cx="146050" cy="921004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2887BDA1"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31200" type="#_x0000_t202" id="docshape18"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702C425E" w14:textId="77777777" w:rsidR="00E32F98" w:rsidRDefault="00E32F98">
      <w:pPr>
        <w:pStyle w:val="Corpsdetexte"/>
        <w:spacing w:before="192"/>
      </w:pPr>
    </w:p>
    <w:p w14:paraId="6CFB0B8E" w14:textId="77777777" w:rsidR="00E32F98" w:rsidRDefault="00000000">
      <w:pPr>
        <w:pStyle w:val="Corpsdetexte"/>
        <w:spacing w:line="235" w:lineRule="auto"/>
        <w:ind w:left="166" w:right="156"/>
        <w:jc w:val="both"/>
      </w:pPr>
      <w:r>
        <w:rPr>
          <w:rFonts w:ascii="Arial" w:hAnsi="Arial"/>
          <w:b/>
        </w:rPr>
        <w:t xml:space="preserve">Pièces 11 et 12: </w:t>
      </w:r>
      <w:r>
        <w:t xml:space="preserve">articles, datés entre 2017 et 2022 et publiés dans divers médias en ligne, dont </w:t>
      </w:r>
      <w:r>
        <w:rPr>
          <w:rFonts w:ascii="Arial" w:hAnsi="Arial"/>
          <w:i/>
        </w:rPr>
        <w:t xml:space="preserve">Amica </w:t>
      </w:r>
      <w:r>
        <w:t xml:space="preserve">(Italie) et </w:t>
      </w:r>
      <w:r>
        <w:rPr>
          <w:rFonts w:ascii="Arial" w:hAnsi="Arial"/>
          <w:i/>
        </w:rPr>
        <w:t xml:space="preserve">Vogue </w:t>
      </w:r>
      <w:r>
        <w:t>(Italie), décrivant le phénomène «Moncler» par rapport au mouvement «paninari». Les autres articles de la pièce sont</w:t>
      </w:r>
      <w:r>
        <w:rPr>
          <w:spacing w:val="-10"/>
        </w:rPr>
        <w:t xml:space="preserve"> </w:t>
      </w:r>
      <w:r>
        <w:t>les suivants:</w:t>
      </w:r>
    </w:p>
    <w:p w14:paraId="75F726B7" w14:textId="77777777" w:rsidR="00E32F98" w:rsidRDefault="00E32F98">
      <w:pPr>
        <w:pStyle w:val="Corpsdetexte"/>
        <w:spacing w:before="5"/>
      </w:pPr>
    </w:p>
    <w:p w14:paraId="25953C7C" w14:textId="77777777" w:rsidR="00E32F98" w:rsidRDefault="00000000">
      <w:pPr>
        <w:pStyle w:val="Paragraphedeliste"/>
        <w:numPr>
          <w:ilvl w:val="0"/>
          <w:numId w:val="4"/>
        </w:numPr>
        <w:tabs>
          <w:tab w:val="left" w:pos="887"/>
        </w:tabs>
        <w:spacing w:line="242" w:lineRule="auto"/>
        <w:ind w:right="156"/>
        <w:jc w:val="both"/>
      </w:pPr>
      <w:r>
        <w:t>un article paru dans</w:t>
      </w:r>
      <w:r>
        <w:rPr>
          <w:spacing w:val="40"/>
        </w:rPr>
        <w:t xml:space="preserve"> </w:t>
      </w:r>
      <w:r>
        <w:rPr>
          <w:rFonts w:ascii="Arial" w:hAnsi="Arial"/>
          <w:i/>
        </w:rPr>
        <w:t xml:space="preserve">M. Porter </w:t>
      </w:r>
      <w:r>
        <w:t>(2022), intitulé: «Partenariat: 70 ans de Moncler», parlé de la nouvelle campagne de la marque «Forever Extraordinaire», revisitant certains de ses moments emblématiques dans ses archives phototropes (dont le mouvement</w:t>
      </w:r>
      <w:r>
        <w:rPr>
          <w:spacing w:val="25"/>
        </w:rPr>
        <w:t xml:space="preserve"> </w:t>
      </w:r>
      <w:r>
        <w:t>«paninari»)</w:t>
      </w:r>
      <w:r>
        <w:rPr>
          <w:spacing w:val="27"/>
        </w:rPr>
        <w:t xml:space="preserve"> </w:t>
      </w:r>
      <w:r>
        <w:t>et</w:t>
      </w:r>
      <w:r>
        <w:rPr>
          <w:spacing w:val="25"/>
        </w:rPr>
        <w:t xml:space="preserve"> </w:t>
      </w:r>
      <w:r>
        <w:t>fournissant</w:t>
      </w:r>
      <w:r>
        <w:rPr>
          <w:spacing w:val="25"/>
        </w:rPr>
        <w:t xml:space="preserve"> </w:t>
      </w:r>
      <w:r>
        <w:t>des</w:t>
      </w:r>
      <w:r>
        <w:rPr>
          <w:spacing w:val="34"/>
        </w:rPr>
        <w:t xml:space="preserve"> </w:t>
      </w:r>
      <w:r>
        <w:t>références</w:t>
      </w:r>
      <w:r>
        <w:rPr>
          <w:spacing w:val="34"/>
        </w:rPr>
        <w:t xml:space="preserve"> </w:t>
      </w:r>
      <w:r>
        <w:t>commerciales</w:t>
      </w:r>
      <w:r>
        <w:rPr>
          <w:spacing w:val="34"/>
        </w:rPr>
        <w:t xml:space="preserve"> </w:t>
      </w:r>
      <w:r>
        <w:t>à</w:t>
      </w:r>
      <w:r>
        <w:rPr>
          <w:spacing w:val="22"/>
        </w:rPr>
        <w:t xml:space="preserve"> </w:t>
      </w:r>
      <w:r>
        <w:t>la</w:t>
      </w:r>
      <w:r>
        <w:rPr>
          <w:spacing w:val="22"/>
        </w:rPr>
        <w:t xml:space="preserve"> </w:t>
      </w:r>
      <w:r>
        <w:t>collection</w:t>
      </w:r>
    </w:p>
    <w:p w14:paraId="693E1A37" w14:textId="77777777" w:rsidR="00E32F98" w:rsidRDefault="00000000">
      <w:pPr>
        <w:pStyle w:val="Corpsdetexte"/>
        <w:spacing w:line="252" w:lineRule="exact"/>
        <w:ind w:left="887"/>
        <w:jc w:val="both"/>
      </w:pPr>
      <w:r>
        <w:t>«Moncler</w:t>
      </w:r>
      <w:r>
        <w:rPr>
          <w:spacing w:val="10"/>
        </w:rPr>
        <w:t xml:space="preserve"> </w:t>
      </w:r>
      <w:r>
        <w:t>s</w:t>
      </w:r>
      <w:r>
        <w:rPr>
          <w:spacing w:val="5"/>
        </w:rPr>
        <w:t xml:space="preserve"> </w:t>
      </w:r>
      <w:r>
        <w:t>70»,</w:t>
      </w:r>
      <w:r>
        <w:rPr>
          <w:spacing w:val="-5"/>
        </w:rPr>
        <w:t xml:space="preserve"> </w:t>
      </w:r>
      <w:r>
        <w:t>comme</w:t>
      </w:r>
      <w:r>
        <w:rPr>
          <w:spacing w:val="-22"/>
        </w:rPr>
        <w:t xml:space="preserve"> </w:t>
      </w:r>
      <w:r>
        <w:rPr>
          <w:spacing w:val="-4"/>
        </w:rPr>
        <w:t>suit:</w:t>
      </w:r>
    </w:p>
    <w:p w14:paraId="0E80A087" w14:textId="77777777" w:rsidR="00E32F98" w:rsidRDefault="00000000">
      <w:pPr>
        <w:ind w:left="1252"/>
        <w:rPr>
          <w:position w:val="4"/>
          <w:sz w:val="20"/>
        </w:rPr>
      </w:pPr>
      <w:r>
        <w:rPr>
          <w:noProof/>
          <w:sz w:val="20"/>
        </w:rPr>
        <w:drawing>
          <wp:inline distT="0" distB="0" distL="0" distR="0" wp14:anchorId="36168B49" wp14:editId="19EA36C7">
            <wp:extent cx="2256300" cy="1266444"/>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stretch>
                      <a:fillRect/>
                    </a:stretch>
                  </pic:blipFill>
                  <pic:spPr>
                    <a:xfrm>
                      <a:off x="0" y="0"/>
                      <a:ext cx="2256300" cy="1266444"/>
                    </a:xfrm>
                    <a:prstGeom prst="rect">
                      <a:avLst/>
                    </a:prstGeom>
                  </pic:spPr>
                </pic:pic>
              </a:graphicData>
            </a:graphic>
          </wp:inline>
        </w:drawing>
      </w:r>
      <w:r>
        <w:rPr>
          <w:rFonts w:ascii="Times New Roman"/>
          <w:spacing w:val="109"/>
          <w:sz w:val="20"/>
        </w:rPr>
        <w:t xml:space="preserve"> </w:t>
      </w:r>
      <w:r>
        <w:rPr>
          <w:noProof/>
          <w:spacing w:val="109"/>
          <w:position w:val="4"/>
          <w:sz w:val="20"/>
        </w:rPr>
        <w:drawing>
          <wp:inline distT="0" distB="0" distL="0" distR="0" wp14:anchorId="4944402B" wp14:editId="5A5E7D39">
            <wp:extent cx="1978195" cy="1243583"/>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cstate="print"/>
                    <a:stretch>
                      <a:fillRect/>
                    </a:stretch>
                  </pic:blipFill>
                  <pic:spPr>
                    <a:xfrm>
                      <a:off x="0" y="0"/>
                      <a:ext cx="1978195" cy="1243583"/>
                    </a:xfrm>
                    <a:prstGeom prst="rect">
                      <a:avLst/>
                    </a:prstGeom>
                  </pic:spPr>
                </pic:pic>
              </a:graphicData>
            </a:graphic>
          </wp:inline>
        </w:drawing>
      </w:r>
    </w:p>
    <w:p w14:paraId="779B07C6" w14:textId="77777777" w:rsidR="00E32F98" w:rsidRDefault="00E32F98">
      <w:pPr>
        <w:pStyle w:val="Corpsdetexte"/>
        <w:spacing w:before="247"/>
      </w:pPr>
    </w:p>
    <w:p w14:paraId="118621A1" w14:textId="77777777" w:rsidR="00E32F98" w:rsidRDefault="00000000">
      <w:pPr>
        <w:pStyle w:val="Paragraphedeliste"/>
        <w:numPr>
          <w:ilvl w:val="0"/>
          <w:numId w:val="4"/>
        </w:numPr>
        <w:tabs>
          <w:tab w:val="left" w:pos="887"/>
        </w:tabs>
        <w:spacing w:line="242" w:lineRule="auto"/>
        <w:ind w:right="146"/>
        <w:jc w:val="both"/>
      </w:pPr>
      <w:r>
        <w:t>un</w:t>
      </w:r>
      <w:r>
        <w:rPr>
          <w:spacing w:val="-1"/>
        </w:rPr>
        <w:t xml:space="preserve"> </w:t>
      </w:r>
      <w:r>
        <w:t>article</w:t>
      </w:r>
      <w:r>
        <w:rPr>
          <w:spacing w:val="-1"/>
        </w:rPr>
        <w:t xml:space="preserve"> </w:t>
      </w:r>
      <w:r>
        <w:t>intitulé</w:t>
      </w:r>
      <w:r>
        <w:rPr>
          <w:spacing w:val="-1"/>
        </w:rPr>
        <w:t xml:space="preserve"> </w:t>
      </w:r>
      <w:r>
        <w:t>«Style</w:t>
      </w:r>
      <w:r>
        <w:rPr>
          <w:spacing w:val="-1"/>
        </w:rPr>
        <w:t xml:space="preserve"> </w:t>
      </w:r>
      <w:r>
        <w:t>History: Le</w:t>
      </w:r>
      <w:r>
        <w:rPr>
          <w:spacing w:val="-1"/>
        </w:rPr>
        <w:t xml:space="preserve"> </w:t>
      </w:r>
      <w:r>
        <w:t>Jacket Puffer et Panini</w:t>
      </w:r>
      <w:r>
        <w:rPr>
          <w:spacing w:val="-1"/>
        </w:rPr>
        <w:t xml:space="preserve"> </w:t>
      </w:r>
      <w:r>
        <w:t>Loving</w:t>
      </w:r>
      <w:r>
        <w:rPr>
          <w:spacing w:val="-1"/>
        </w:rPr>
        <w:t xml:space="preserve"> </w:t>
      </w:r>
      <w:r>
        <w:t>Italians qui</w:t>
      </w:r>
      <w:r>
        <w:rPr>
          <w:spacing w:val="-1"/>
        </w:rPr>
        <w:t xml:space="preserve"> </w:t>
      </w:r>
      <w:r>
        <w:t>l’ont</w:t>
      </w:r>
      <w:r>
        <w:rPr>
          <w:spacing w:val="-11"/>
        </w:rPr>
        <w:t xml:space="preserve"> </w:t>
      </w:r>
      <w:r>
        <w:t xml:space="preserve">fait cool», publié le 16/02/2021 dans </w:t>
      </w:r>
      <w:r>
        <w:rPr>
          <w:rFonts w:ascii="Arial" w:hAnsi="Arial"/>
          <w:i/>
        </w:rPr>
        <w:t>Queen’s Fashion Industry Network</w:t>
      </w:r>
      <w:r>
        <w:t>, parlant le mouvement</w:t>
      </w:r>
      <w:r>
        <w:rPr>
          <w:spacing w:val="75"/>
        </w:rPr>
        <w:t xml:space="preserve"> </w:t>
      </w:r>
      <w:r>
        <w:t>et</w:t>
      </w:r>
      <w:r>
        <w:rPr>
          <w:spacing w:val="40"/>
        </w:rPr>
        <w:t xml:space="preserve"> </w:t>
      </w:r>
      <w:r>
        <w:t>mentionnant</w:t>
      </w:r>
      <w:r>
        <w:rPr>
          <w:spacing w:val="40"/>
        </w:rPr>
        <w:t xml:space="preserve"> </w:t>
      </w:r>
      <w:r>
        <w:t>son</w:t>
      </w:r>
      <w:r>
        <w:rPr>
          <w:spacing w:val="40"/>
        </w:rPr>
        <w:t xml:space="preserve"> </w:t>
      </w:r>
      <w:r>
        <w:t>élément</w:t>
      </w:r>
      <w:r>
        <w:rPr>
          <w:spacing w:val="40"/>
        </w:rPr>
        <w:t xml:space="preserve"> </w:t>
      </w:r>
      <w:r>
        <w:t>d’accompagnement</w:t>
      </w:r>
      <w:r>
        <w:rPr>
          <w:spacing w:val="40"/>
        </w:rPr>
        <w:t xml:space="preserve"> </w:t>
      </w:r>
      <w:r>
        <w:t>original</w:t>
      </w:r>
      <w:r>
        <w:rPr>
          <w:spacing w:val="40"/>
        </w:rPr>
        <w:t xml:space="preserve"> </w:t>
      </w:r>
      <w:r>
        <w:t>comme</w:t>
      </w:r>
      <w:r>
        <w:rPr>
          <w:spacing w:val="40"/>
        </w:rPr>
        <w:t xml:space="preserve"> </w:t>
      </w:r>
      <w:r>
        <w:t>les</w:t>
      </w:r>
    </w:p>
    <w:p w14:paraId="61C4EA23" w14:textId="77777777" w:rsidR="00E32F98" w:rsidRDefault="00000000">
      <w:pPr>
        <w:pStyle w:val="Corpsdetexte"/>
        <w:spacing w:line="252" w:lineRule="exact"/>
        <w:ind w:left="887"/>
        <w:jc w:val="both"/>
      </w:pPr>
      <w:r>
        <w:t>«vestes</w:t>
      </w:r>
      <w:r>
        <w:rPr>
          <w:spacing w:val="3"/>
        </w:rPr>
        <w:t xml:space="preserve"> </w:t>
      </w:r>
      <w:r>
        <w:t>de</w:t>
      </w:r>
      <w:r>
        <w:rPr>
          <w:spacing w:val="-8"/>
        </w:rPr>
        <w:t xml:space="preserve"> </w:t>
      </w:r>
      <w:r>
        <w:t>ski</w:t>
      </w:r>
      <w:r>
        <w:rPr>
          <w:spacing w:val="-8"/>
        </w:rPr>
        <w:t xml:space="preserve"> </w:t>
      </w:r>
      <w:r>
        <w:t>maroncler</w:t>
      </w:r>
      <w:r>
        <w:rPr>
          <w:spacing w:val="-17"/>
        </w:rPr>
        <w:t xml:space="preserve"> </w:t>
      </w:r>
      <w:r>
        <w:t>de</w:t>
      </w:r>
      <w:r>
        <w:rPr>
          <w:spacing w:val="6"/>
        </w:rPr>
        <w:t xml:space="preserve"> </w:t>
      </w:r>
      <w:r>
        <w:t>couleur</w:t>
      </w:r>
      <w:r>
        <w:rPr>
          <w:spacing w:val="-3"/>
        </w:rPr>
        <w:t xml:space="preserve"> </w:t>
      </w:r>
      <w:r>
        <w:rPr>
          <w:spacing w:val="-2"/>
        </w:rPr>
        <w:t>vive».</w:t>
      </w:r>
    </w:p>
    <w:p w14:paraId="5A5739F3" w14:textId="77777777" w:rsidR="00E32F98" w:rsidRDefault="00000000">
      <w:pPr>
        <w:pStyle w:val="Paragraphedeliste"/>
        <w:numPr>
          <w:ilvl w:val="0"/>
          <w:numId w:val="4"/>
        </w:numPr>
        <w:tabs>
          <w:tab w:val="left" w:pos="887"/>
        </w:tabs>
        <w:spacing w:before="2" w:line="242" w:lineRule="auto"/>
        <w:ind w:right="132"/>
        <w:jc w:val="both"/>
        <w:rPr>
          <w:rFonts w:ascii="Arial" w:hAnsi="Arial"/>
          <w:i/>
        </w:rPr>
      </w:pPr>
      <w:r>
        <w:t>un article intitulé: «Paninari: Les initiateurs italiens de restauration rapide de mode», publiés</w:t>
      </w:r>
      <w:r>
        <w:rPr>
          <w:spacing w:val="26"/>
        </w:rPr>
        <w:t xml:space="preserve"> </w:t>
      </w:r>
      <w:r>
        <w:t>le 03/06/2017</w:t>
      </w:r>
      <w:r>
        <w:rPr>
          <w:spacing w:val="19"/>
        </w:rPr>
        <w:t xml:space="preserve"> </w:t>
      </w:r>
      <w:r>
        <w:t xml:space="preserve">à Flavour </w:t>
      </w:r>
      <w:r>
        <w:rPr>
          <w:rFonts w:ascii="Arial" w:hAnsi="Arial"/>
          <w:i/>
        </w:rPr>
        <w:t xml:space="preserve">de mode et le </w:t>
      </w:r>
      <w:r>
        <w:t xml:space="preserve">22/11/2016 à Another </w:t>
      </w:r>
      <w:r>
        <w:rPr>
          <w:rFonts w:ascii="Arial" w:hAnsi="Arial"/>
          <w:i/>
        </w:rPr>
        <w:t>Mag, révélant l’</w:t>
      </w:r>
    </w:p>
    <w:p w14:paraId="5F56F512" w14:textId="77777777" w:rsidR="00E32F98" w:rsidRDefault="00000000">
      <w:pPr>
        <w:pStyle w:val="Corpsdetexte"/>
        <w:spacing w:line="237" w:lineRule="exact"/>
        <w:ind w:left="887"/>
        <w:jc w:val="both"/>
      </w:pPr>
      <w:r>
        <w:t>«histoire</w:t>
      </w:r>
      <w:r>
        <w:rPr>
          <w:spacing w:val="75"/>
        </w:rPr>
        <w:t xml:space="preserve"> </w:t>
      </w:r>
      <w:r>
        <w:t>d’un</w:t>
      </w:r>
      <w:r>
        <w:rPr>
          <w:spacing w:val="75"/>
        </w:rPr>
        <w:t xml:space="preserve"> </w:t>
      </w:r>
      <w:r>
        <w:t>mouvement</w:t>
      </w:r>
      <w:r>
        <w:rPr>
          <w:spacing w:val="77"/>
        </w:rPr>
        <w:t xml:space="preserve"> </w:t>
      </w:r>
      <w:r>
        <w:t>Milanais</w:t>
      </w:r>
      <w:r>
        <w:rPr>
          <w:spacing w:val="56"/>
          <w:w w:val="150"/>
        </w:rPr>
        <w:t xml:space="preserve"> </w:t>
      </w:r>
      <w:r>
        <w:t>oublié</w:t>
      </w:r>
      <w:r>
        <w:rPr>
          <w:spacing w:val="61"/>
        </w:rPr>
        <w:t xml:space="preserve"> </w:t>
      </w:r>
      <w:r>
        <w:t>1980,</w:t>
      </w:r>
      <w:r>
        <w:rPr>
          <w:spacing w:val="64"/>
        </w:rPr>
        <w:t xml:space="preserve"> </w:t>
      </w:r>
      <w:r>
        <w:t>qui</w:t>
      </w:r>
      <w:r>
        <w:rPr>
          <w:spacing w:val="60"/>
        </w:rPr>
        <w:t xml:space="preserve"> </w:t>
      </w:r>
      <w:r>
        <w:t>a</w:t>
      </w:r>
      <w:r>
        <w:rPr>
          <w:spacing w:val="61"/>
        </w:rPr>
        <w:t xml:space="preserve"> </w:t>
      </w:r>
      <w:r>
        <w:t>prescrit</w:t>
      </w:r>
      <w:r>
        <w:rPr>
          <w:spacing w:val="64"/>
        </w:rPr>
        <w:t xml:space="preserve"> </w:t>
      </w:r>
      <w:r>
        <w:t>de</w:t>
      </w:r>
      <w:r>
        <w:rPr>
          <w:spacing w:val="61"/>
        </w:rPr>
        <w:t xml:space="preserve"> </w:t>
      </w:r>
      <w:r>
        <w:t>manger</w:t>
      </w:r>
      <w:r>
        <w:rPr>
          <w:spacing w:val="65"/>
        </w:rPr>
        <w:t xml:space="preserve"> </w:t>
      </w:r>
      <w:r>
        <w:rPr>
          <w:spacing w:val="-5"/>
        </w:rPr>
        <w:t>des</w:t>
      </w:r>
    </w:p>
    <w:p w14:paraId="26048C8E" w14:textId="77777777" w:rsidR="00E32F98" w:rsidRDefault="00000000">
      <w:pPr>
        <w:pStyle w:val="Corpsdetexte"/>
        <w:spacing w:before="2" w:line="242" w:lineRule="auto"/>
        <w:ind w:left="887" w:right="154"/>
        <w:jc w:val="both"/>
      </w:pPr>
      <w:r>
        <w:t>hamburgers et de porter des vestes à</w:t>
      </w:r>
      <w:r>
        <w:rPr>
          <w:spacing w:val="-11"/>
        </w:rPr>
        <w:t xml:space="preserve"> </w:t>
      </w:r>
      <w:r>
        <w:t>Puffer</w:t>
      </w:r>
      <w:r>
        <w:rPr>
          <w:spacing w:val="-6"/>
        </w:rPr>
        <w:t xml:space="preserve"> </w:t>
      </w:r>
      <w:r>
        <w:t>pour</w:t>
      </w:r>
      <w:r>
        <w:rPr>
          <w:spacing w:val="-6"/>
        </w:rPr>
        <w:t xml:space="preserve"> </w:t>
      </w:r>
      <w:r>
        <w:t>représenter</w:t>
      </w:r>
      <w:r>
        <w:rPr>
          <w:spacing w:val="-6"/>
        </w:rPr>
        <w:t xml:space="preserve"> </w:t>
      </w:r>
      <w:r>
        <w:t>le</w:t>
      </w:r>
      <w:r>
        <w:rPr>
          <w:spacing w:val="-11"/>
        </w:rPr>
        <w:t xml:space="preserve"> </w:t>
      </w:r>
      <w:r>
        <w:t>cool</w:t>
      </w:r>
      <w:r>
        <w:rPr>
          <w:spacing w:val="-11"/>
        </w:rPr>
        <w:t xml:space="preserve"> </w:t>
      </w:r>
      <w:r>
        <w:t>vers l’avant:</w:t>
      </w:r>
      <w:r>
        <w:rPr>
          <w:spacing w:val="-8"/>
        </w:rPr>
        <w:t xml:space="preserve"> </w:t>
      </w:r>
      <w:r>
        <w:t>the Paninari». L’article mentionne également les vestes de Puffer «Moncler» de la demanderesse qui appartiennent à l’aspect distinctif créé par</w:t>
      </w:r>
      <w:r>
        <w:rPr>
          <w:spacing w:val="-5"/>
        </w:rPr>
        <w:t xml:space="preserve"> </w:t>
      </w:r>
      <w:r>
        <w:t xml:space="preserve">les adolescents appelé </w:t>
      </w:r>
      <w:r>
        <w:rPr>
          <w:rFonts w:ascii="Arial" w:hAnsi="Arial"/>
          <w:i/>
          <w:spacing w:val="-2"/>
        </w:rPr>
        <w:t>paninari</w:t>
      </w:r>
      <w:r>
        <w:rPr>
          <w:spacing w:val="-2"/>
        </w:rPr>
        <w:t>.</w:t>
      </w:r>
    </w:p>
    <w:p w14:paraId="1790F556" w14:textId="77777777" w:rsidR="00E32F98" w:rsidRDefault="00000000">
      <w:pPr>
        <w:pStyle w:val="Paragraphedeliste"/>
        <w:numPr>
          <w:ilvl w:val="0"/>
          <w:numId w:val="4"/>
        </w:numPr>
        <w:tabs>
          <w:tab w:val="left" w:pos="887"/>
        </w:tabs>
        <w:spacing w:line="242" w:lineRule="auto"/>
        <w:ind w:right="164"/>
        <w:jc w:val="both"/>
      </w:pPr>
      <w:r>
        <w:t>un article intitulé «Le retour du Paninari», publié</w:t>
      </w:r>
      <w:r>
        <w:rPr>
          <w:spacing w:val="-2"/>
        </w:rPr>
        <w:t xml:space="preserve"> </w:t>
      </w:r>
      <w:r>
        <w:t>le</w:t>
      </w:r>
      <w:r>
        <w:rPr>
          <w:spacing w:val="-2"/>
        </w:rPr>
        <w:t xml:space="preserve"> </w:t>
      </w:r>
      <w:r>
        <w:t>24/10/2018</w:t>
      </w:r>
      <w:r>
        <w:rPr>
          <w:spacing w:val="-2"/>
        </w:rPr>
        <w:t xml:space="preserve"> </w:t>
      </w:r>
      <w:r>
        <w:t>dans NSS Magazine, mentionnant ce qui suit:</w:t>
      </w:r>
    </w:p>
    <w:p w14:paraId="2F209E3D" w14:textId="77777777" w:rsidR="00E32F98" w:rsidRDefault="00000000">
      <w:pPr>
        <w:pStyle w:val="Corpsdetexte"/>
        <w:ind w:left="165"/>
        <w:rPr>
          <w:sz w:val="20"/>
        </w:rPr>
      </w:pPr>
      <w:r>
        <w:rPr>
          <w:noProof/>
          <w:sz w:val="20"/>
        </w:rPr>
        <w:drawing>
          <wp:inline distT="0" distB="0" distL="0" distR="0" wp14:anchorId="75F6D81C" wp14:editId="19CD934D">
            <wp:extent cx="5751265" cy="3449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5751265" cy="344900"/>
                    </a:xfrm>
                    <a:prstGeom prst="rect">
                      <a:avLst/>
                    </a:prstGeom>
                  </pic:spPr>
                </pic:pic>
              </a:graphicData>
            </a:graphic>
          </wp:inline>
        </w:drawing>
      </w:r>
    </w:p>
    <w:p w14:paraId="11635444" w14:textId="77777777" w:rsidR="00E32F98" w:rsidRDefault="00E32F98">
      <w:pPr>
        <w:pStyle w:val="Corpsdetexte"/>
        <w:spacing w:before="14"/>
      </w:pPr>
    </w:p>
    <w:p w14:paraId="2AA480D5" w14:textId="77777777" w:rsidR="00E32F98" w:rsidRDefault="00000000">
      <w:pPr>
        <w:pStyle w:val="Corpsdetexte"/>
        <w:spacing w:line="237" w:lineRule="auto"/>
        <w:ind w:left="166" w:right="150"/>
        <w:jc w:val="both"/>
      </w:pPr>
      <w:r>
        <w:rPr>
          <w:rFonts w:ascii="Arial" w:hAnsi="Arial"/>
          <w:b/>
        </w:rPr>
        <w:t>Pièce 13:</w:t>
      </w:r>
      <w:r>
        <w:rPr>
          <w:rFonts w:ascii="Arial" w:hAnsi="Arial"/>
          <w:b/>
          <w:spacing w:val="-2"/>
        </w:rPr>
        <w:t xml:space="preserve"> </w:t>
      </w:r>
      <w:r>
        <w:t>divers articles concernant la libération des actions «Moncler» sur le</w:t>
      </w:r>
      <w:r>
        <w:rPr>
          <w:spacing w:val="-8"/>
        </w:rPr>
        <w:t xml:space="preserve"> </w:t>
      </w:r>
      <w:r>
        <w:t>marché</w:t>
      </w:r>
      <w:r>
        <w:rPr>
          <w:spacing w:val="-8"/>
        </w:rPr>
        <w:t xml:space="preserve"> </w:t>
      </w:r>
      <w:r>
        <w:t>de</w:t>
      </w:r>
      <w:r>
        <w:rPr>
          <w:spacing w:val="-8"/>
        </w:rPr>
        <w:t xml:space="preserve"> </w:t>
      </w:r>
      <w:r>
        <w:t xml:space="preserve">la Bourse italienne: intitulé «Moncler Tops Royal Mail for Europe debut the Best IPO from 2013», publié à </w:t>
      </w:r>
      <w:r>
        <w:rPr>
          <w:rFonts w:ascii="Arial" w:hAnsi="Arial"/>
          <w:i/>
        </w:rPr>
        <w:t>Bloomberg</w:t>
      </w:r>
      <w:r>
        <w:t xml:space="preserve">, daté du 16/12/2013; intitulé «Moncler: le plus grand succès du marché boursier de 2013», publié </w:t>
      </w:r>
      <w:r>
        <w:rPr>
          <w:rFonts w:ascii="Arial" w:hAnsi="Arial"/>
          <w:i/>
        </w:rPr>
        <w:t>à FashionUK</w:t>
      </w:r>
      <w:r>
        <w:t>, daté du 18/12/2013; intitulé «Moncler, débutto boom in</w:t>
      </w:r>
      <w:r>
        <w:rPr>
          <w:spacing w:val="-1"/>
        </w:rPr>
        <w:t xml:space="preserve"> </w:t>
      </w:r>
      <w:r>
        <w:t>Piazza</w:t>
      </w:r>
      <w:r>
        <w:rPr>
          <w:spacing w:val="-18"/>
        </w:rPr>
        <w:t xml:space="preserve"> </w:t>
      </w:r>
      <w:r>
        <w:t>Affari»,</w:t>
      </w:r>
      <w:r>
        <w:rPr>
          <w:spacing w:val="36"/>
        </w:rPr>
        <w:t xml:space="preserve"> </w:t>
      </w:r>
      <w:r>
        <w:t xml:space="preserve">publié dans </w:t>
      </w:r>
      <w:r>
        <w:rPr>
          <w:rFonts w:ascii="Arial" w:hAnsi="Arial"/>
          <w:i/>
        </w:rPr>
        <w:t xml:space="preserve">Ilsole24ore </w:t>
      </w:r>
      <w:r>
        <w:t>le</w:t>
      </w:r>
      <w:r>
        <w:rPr>
          <w:spacing w:val="-1"/>
        </w:rPr>
        <w:t xml:space="preserve"> </w:t>
      </w:r>
      <w:r>
        <w:t>17/12/2013.</w:t>
      </w:r>
    </w:p>
    <w:p w14:paraId="03EF33D7" w14:textId="77777777" w:rsidR="00E32F98" w:rsidRDefault="00E32F98">
      <w:pPr>
        <w:pStyle w:val="Corpsdetexte"/>
        <w:spacing w:before="9"/>
      </w:pPr>
    </w:p>
    <w:p w14:paraId="0AA46506" w14:textId="77777777" w:rsidR="00E32F98" w:rsidRDefault="00000000">
      <w:pPr>
        <w:pStyle w:val="Corpsdetexte"/>
        <w:spacing w:line="242" w:lineRule="auto"/>
        <w:ind w:left="166" w:right="146"/>
        <w:jc w:val="both"/>
      </w:pPr>
      <w:r>
        <w:rPr>
          <w:rFonts w:ascii="Arial" w:hAnsi="Arial"/>
          <w:b/>
        </w:rPr>
        <w:t xml:space="preserve">Pièce 14: </w:t>
      </w:r>
      <w:r>
        <w:t xml:space="preserve">un ensemble de documents liés au centre créatif de Genius, en particulier: un article intitulé «Moncler Genius: Une marque de ski de luxe manquante pour réinventer le modèle», datée du 21/02/2019, publiée dans </w:t>
      </w:r>
      <w:r>
        <w:rPr>
          <w:rFonts w:ascii="Arial" w:hAnsi="Arial"/>
          <w:i/>
        </w:rPr>
        <w:t>CNN</w:t>
      </w:r>
      <w:r>
        <w:rPr>
          <w:rFonts w:ascii="Arial" w:hAnsi="Arial"/>
          <w:i/>
          <w:spacing w:val="-3"/>
        </w:rPr>
        <w:t xml:space="preserve"> </w:t>
      </w:r>
      <w:r>
        <w:rPr>
          <w:rFonts w:ascii="Arial" w:hAnsi="Arial"/>
          <w:i/>
        </w:rPr>
        <w:t>Style</w:t>
      </w:r>
      <w:r>
        <w:t>:</w:t>
      </w:r>
    </w:p>
    <w:p w14:paraId="5FC44735" w14:textId="77777777" w:rsidR="00E32F98" w:rsidRDefault="00E32F98">
      <w:pPr>
        <w:pStyle w:val="Corpsdetexte"/>
        <w:spacing w:line="242" w:lineRule="auto"/>
        <w:jc w:val="both"/>
        <w:sectPr w:rsidR="00E32F98">
          <w:headerReference w:type="default" r:id="rId17"/>
          <w:pgSz w:w="11910" w:h="16850"/>
          <w:pgMar w:top="1000" w:right="1275" w:bottom="280" w:left="1275" w:header="727" w:footer="0" w:gutter="0"/>
          <w:cols w:space="720"/>
        </w:sectPr>
      </w:pPr>
    </w:p>
    <w:p w14:paraId="07ECA6A8" w14:textId="77777777" w:rsidR="00E32F98" w:rsidRDefault="00000000">
      <w:pPr>
        <w:pStyle w:val="Corpsdetexte"/>
      </w:pPr>
      <w:r>
        <w:rPr>
          <w:noProof/>
        </w:rPr>
        <w:lastRenderedPageBreak/>
        <mc:AlternateContent>
          <mc:Choice Requires="wps">
            <w:drawing>
              <wp:anchor distT="0" distB="0" distL="0" distR="0" simplePos="0" relativeHeight="15734272" behindDoc="0" locked="0" layoutInCell="1" allowOverlap="1" wp14:anchorId="7E989E73" wp14:editId="4003ABCC">
                <wp:simplePos x="0" y="0"/>
                <wp:positionH relativeFrom="page">
                  <wp:posOffset>270575</wp:posOffset>
                </wp:positionH>
                <wp:positionV relativeFrom="page">
                  <wp:posOffset>1118555</wp:posOffset>
                </wp:positionV>
                <wp:extent cx="146050" cy="921004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7CC14D39"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34272" type="#_x0000_t202" id="docshape22"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1CC22BD0" w14:textId="77777777" w:rsidR="00E32F98" w:rsidRDefault="00E32F98">
      <w:pPr>
        <w:pStyle w:val="Corpsdetexte"/>
      </w:pPr>
    </w:p>
    <w:p w14:paraId="6017878D" w14:textId="77777777" w:rsidR="00E32F98" w:rsidRDefault="00E32F98">
      <w:pPr>
        <w:pStyle w:val="Corpsdetexte"/>
      </w:pPr>
    </w:p>
    <w:p w14:paraId="01B826E2" w14:textId="77777777" w:rsidR="00E32F98" w:rsidRDefault="00E32F98">
      <w:pPr>
        <w:pStyle w:val="Corpsdetexte"/>
      </w:pPr>
    </w:p>
    <w:p w14:paraId="10B86CD8" w14:textId="77777777" w:rsidR="00E32F98" w:rsidRDefault="00E32F98">
      <w:pPr>
        <w:pStyle w:val="Corpsdetexte"/>
      </w:pPr>
    </w:p>
    <w:p w14:paraId="0E344B8D" w14:textId="77777777" w:rsidR="00E32F98" w:rsidRDefault="00E32F98">
      <w:pPr>
        <w:pStyle w:val="Corpsdetexte"/>
      </w:pPr>
    </w:p>
    <w:p w14:paraId="074329BB" w14:textId="77777777" w:rsidR="00E32F98" w:rsidRDefault="00E32F98">
      <w:pPr>
        <w:pStyle w:val="Corpsdetexte"/>
      </w:pPr>
    </w:p>
    <w:p w14:paraId="36A4A5AE" w14:textId="77777777" w:rsidR="00E32F98" w:rsidRDefault="00E32F98">
      <w:pPr>
        <w:pStyle w:val="Corpsdetexte"/>
      </w:pPr>
    </w:p>
    <w:p w14:paraId="6574C745" w14:textId="77777777" w:rsidR="00E32F98" w:rsidRDefault="00E32F98">
      <w:pPr>
        <w:pStyle w:val="Corpsdetexte"/>
      </w:pPr>
    </w:p>
    <w:p w14:paraId="4C0D91B6" w14:textId="77777777" w:rsidR="00E32F98" w:rsidRDefault="00E32F98">
      <w:pPr>
        <w:pStyle w:val="Corpsdetexte"/>
        <w:spacing w:before="56"/>
      </w:pPr>
    </w:p>
    <w:p w14:paraId="3F9BBF52" w14:textId="77777777" w:rsidR="00E32F98" w:rsidRDefault="00000000">
      <w:pPr>
        <w:pStyle w:val="Corpsdetexte"/>
        <w:spacing w:line="242" w:lineRule="auto"/>
        <w:ind w:left="166" w:right="146" w:firstLine="7854"/>
        <w:jc w:val="both"/>
      </w:pPr>
      <w:r>
        <w:rPr>
          <w:noProof/>
        </w:rPr>
        <w:drawing>
          <wp:anchor distT="0" distB="0" distL="0" distR="0" simplePos="0" relativeHeight="15733248" behindDoc="0" locked="0" layoutInCell="1" allowOverlap="1" wp14:anchorId="67E27B10" wp14:editId="7697F95D">
            <wp:simplePos x="0" y="0"/>
            <wp:positionH relativeFrom="page">
              <wp:posOffset>914400</wp:posOffset>
            </wp:positionH>
            <wp:positionV relativeFrom="paragraph">
              <wp:posOffset>-1331458</wp:posOffset>
            </wp:positionV>
            <wp:extent cx="1534795" cy="1459865"/>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8" cstate="print"/>
                    <a:stretch>
                      <a:fillRect/>
                    </a:stretch>
                  </pic:blipFill>
                  <pic:spPr>
                    <a:xfrm>
                      <a:off x="0" y="0"/>
                      <a:ext cx="1534795" cy="1459865"/>
                    </a:xfrm>
                    <a:prstGeom prst="rect">
                      <a:avLst/>
                    </a:prstGeom>
                  </pic:spPr>
                </pic:pic>
              </a:graphicData>
            </a:graphic>
          </wp:anchor>
        </w:drawing>
      </w:r>
      <w:r>
        <w:rPr>
          <w:noProof/>
        </w:rPr>
        <mc:AlternateContent>
          <mc:Choice Requires="wps">
            <w:drawing>
              <wp:anchor distT="0" distB="0" distL="0" distR="0" simplePos="0" relativeHeight="15733760" behindDoc="0" locked="0" layoutInCell="1" allowOverlap="1" wp14:anchorId="3F465BD9" wp14:editId="093E5F70">
                <wp:simplePos x="0" y="0"/>
                <wp:positionH relativeFrom="page">
                  <wp:posOffset>2576957</wp:posOffset>
                </wp:positionH>
                <wp:positionV relativeFrom="paragraph">
                  <wp:posOffset>-1366383</wp:posOffset>
                </wp:positionV>
                <wp:extent cx="3312795" cy="149479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2795" cy="1494790"/>
                          <a:chOff x="0" y="0"/>
                          <a:chExt cx="3312795" cy="1494790"/>
                        </a:xfrm>
                      </wpg:grpSpPr>
                      <pic:pic xmlns:pic="http://schemas.openxmlformats.org/drawingml/2006/picture">
                        <pic:nvPicPr>
                          <pic:cNvPr id="30" name="Image 30"/>
                          <pic:cNvPicPr/>
                        </pic:nvPicPr>
                        <pic:blipFill>
                          <a:blip r:embed="rId19" cstate="print"/>
                          <a:stretch>
                            <a:fillRect/>
                          </a:stretch>
                        </pic:blipFill>
                        <pic:spPr>
                          <a:xfrm>
                            <a:off x="0" y="0"/>
                            <a:ext cx="1195705" cy="1494663"/>
                          </a:xfrm>
                          <a:prstGeom prst="rect">
                            <a:avLst/>
                          </a:prstGeom>
                        </pic:spPr>
                      </pic:pic>
                      <pic:pic xmlns:pic="http://schemas.openxmlformats.org/drawingml/2006/picture">
                        <pic:nvPicPr>
                          <pic:cNvPr id="31" name="Image 31"/>
                          <pic:cNvPicPr/>
                        </pic:nvPicPr>
                        <pic:blipFill>
                          <a:blip r:embed="rId20" cstate="print"/>
                          <a:stretch>
                            <a:fillRect/>
                          </a:stretch>
                        </pic:blipFill>
                        <pic:spPr>
                          <a:xfrm>
                            <a:off x="1195705" y="15875"/>
                            <a:ext cx="2116709" cy="147094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02.910004pt;margin-top:-107.589256pt;width:260.8500pt;height:117.7pt;mso-position-horizontal-relative:page;mso-position-vertical-relative:paragraph;z-index:15733760" id="docshapegroup23" coordorigin="4058,-2152" coordsize="5217,2354">
                <v:shape style="position:absolute;left:4058;top:-2152;width:1883;height:2354" type="#_x0000_t75" id="docshape24" stroked="false">
                  <v:imagedata r:id="rId21" o:title=""/>
                </v:shape>
                <v:shape style="position:absolute;left:5941;top:-2127;width:3334;height:2317" type="#_x0000_t75" id="docshape25" stroked="false">
                  <v:imagedata r:id="rId22" o:title=""/>
                </v:shape>
                <w10:wrap type="none"/>
              </v:group>
            </w:pict>
          </mc:Fallback>
        </mc:AlternateContent>
      </w:r>
      <w:r>
        <w:t>ainsi qu’un article intitulé «Moncler lancement d’une plateforme créative «Genius» dans une nouvelle stratégie</w:t>
      </w:r>
      <w:r>
        <w:rPr>
          <w:spacing w:val="44"/>
        </w:rPr>
        <w:t xml:space="preserve"> </w:t>
      </w:r>
      <w:r>
        <w:t>de</w:t>
      </w:r>
      <w:r>
        <w:rPr>
          <w:spacing w:val="45"/>
        </w:rPr>
        <w:t xml:space="preserve"> </w:t>
      </w:r>
      <w:r>
        <w:t>produits»,</w:t>
      </w:r>
      <w:r>
        <w:rPr>
          <w:spacing w:val="47"/>
        </w:rPr>
        <w:t xml:space="preserve"> </w:t>
      </w:r>
      <w:r>
        <w:t>publié</w:t>
      </w:r>
      <w:r>
        <w:rPr>
          <w:spacing w:val="45"/>
        </w:rPr>
        <w:t xml:space="preserve"> </w:t>
      </w:r>
      <w:r>
        <w:t>le</w:t>
      </w:r>
      <w:r>
        <w:rPr>
          <w:spacing w:val="45"/>
        </w:rPr>
        <w:t xml:space="preserve"> </w:t>
      </w:r>
      <w:r>
        <w:t>14/02/2018</w:t>
      </w:r>
      <w:r>
        <w:rPr>
          <w:spacing w:val="45"/>
        </w:rPr>
        <w:t xml:space="preserve"> </w:t>
      </w:r>
      <w:r>
        <w:t>dans</w:t>
      </w:r>
      <w:r>
        <w:rPr>
          <w:spacing w:val="66"/>
        </w:rPr>
        <w:t xml:space="preserve"> </w:t>
      </w:r>
      <w:r>
        <w:rPr>
          <w:rFonts w:ascii="Arial" w:hAnsi="Arial"/>
          <w:i/>
        </w:rPr>
        <w:t>Fashion</w:t>
      </w:r>
      <w:r>
        <w:rPr>
          <w:rFonts w:ascii="Arial" w:hAnsi="Arial"/>
          <w:i/>
          <w:spacing w:val="45"/>
        </w:rPr>
        <w:t xml:space="preserve"> </w:t>
      </w:r>
      <w:r>
        <w:rPr>
          <w:rFonts w:ascii="Arial" w:hAnsi="Arial"/>
          <w:i/>
        </w:rPr>
        <w:t>Network</w:t>
      </w:r>
      <w:r>
        <w:t>,</w:t>
      </w:r>
      <w:r>
        <w:rPr>
          <w:spacing w:val="47"/>
        </w:rPr>
        <w:t xml:space="preserve"> </w:t>
      </w:r>
      <w:r>
        <w:t>et</w:t>
      </w:r>
      <w:r>
        <w:rPr>
          <w:spacing w:val="47"/>
        </w:rPr>
        <w:t xml:space="preserve"> </w:t>
      </w:r>
      <w:r>
        <w:t>une</w:t>
      </w:r>
      <w:r>
        <w:rPr>
          <w:spacing w:val="45"/>
        </w:rPr>
        <w:t xml:space="preserve"> </w:t>
      </w:r>
      <w:r>
        <w:t>annonce</w:t>
      </w:r>
      <w:r>
        <w:rPr>
          <w:spacing w:val="45"/>
        </w:rPr>
        <w:t xml:space="preserve"> </w:t>
      </w:r>
      <w:r>
        <w:rPr>
          <w:spacing w:val="-5"/>
        </w:rPr>
        <w:t>de</w:t>
      </w:r>
    </w:p>
    <w:p w14:paraId="55077C36" w14:textId="77777777" w:rsidR="00E32F98" w:rsidRDefault="00000000">
      <w:pPr>
        <w:pStyle w:val="Corpsdetexte"/>
        <w:spacing w:line="242" w:lineRule="auto"/>
        <w:ind w:left="166" w:right="164"/>
        <w:jc w:val="both"/>
      </w:pPr>
      <w:r>
        <w:t>«Moncler The art of Genius» indiquant que la marque présentera ses collections à Olympia London fot the London Fashion Week 2023.</w:t>
      </w:r>
    </w:p>
    <w:p w14:paraId="1B351224" w14:textId="77777777" w:rsidR="00E32F98" w:rsidRDefault="00000000">
      <w:pPr>
        <w:spacing w:before="239"/>
        <w:ind w:left="166" w:right="155"/>
        <w:jc w:val="both"/>
      </w:pPr>
      <w:r>
        <w:rPr>
          <w:rFonts w:ascii="Arial" w:hAnsi="Arial"/>
          <w:b/>
        </w:rPr>
        <w:t>Pièce 15:</w:t>
      </w:r>
      <w:r>
        <w:rPr>
          <w:rFonts w:ascii="Arial" w:hAnsi="Arial"/>
          <w:b/>
          <w:spacing w:val="-6"/>
        </w:rPr>
        <w:t xml:space="preserve"> </w:t>
      </w:r>
      <w:r>
        <w:t>des extraits de publications dans divers médias en</w:t>
      </w:r>
      <w:r>
        <w:rPr>
          <w:spacing w:val="-12"/>
        </w:rPr>
        <w:t xml:space="preserve"> </w:t>
      </w:r>
      <w:r>
        <w:t>allemand,</w:t>
      </w:r>
      <w:r>
        <w:rPr>
          <w:spacing w:val="-9"/>
        </w:rPr>
        <w:t xml:space="preserve"> </w:t>
      </w:r>
      <w:r>
        <w:t>danois,</w:t>
      </w:r>
      <w:r>
        <w:rPr>
          <w:spacing w:val="-9"/>
        </w:rPr>
        <w:t xml:space="preserve"> </w:t>
      </w:r>
      <w:r>
        <w:t xml:space="preserve">néerlandais, français, espagnol et anglais (par exemple </w:t>
      </w:r>
      <w:r>
        <w:rPr>
          <w:rFonts w:ascii="Arial" w:hAnsi="Arial"/>
          <w:i/>
        </w:rPr>
        <w:t>Diva, Rondo, Flair, Flair, News, Elle, Grazia, Grzia, L’Oréal, Esquire, Stijl, Vogue, Focus, Vanity Fair, Harper’s Bazaar, Forbes, GQ, Wallpapier, Madame, Die Welt), mentionnant</w:t>
      </w:r>
      <w:r>
        <w:rPr>
          <w:rFonts w:ascii="Arial" w:hAnsi="Arial"/>
          <w:i/>
          <w:spacing w:val="-3"/>
        </w:rPr>
        <w:t xml:space="preserve"> </w:t>
      </w:r>
      <w:r>
        <w:rPr>
          <w:rFonts w:ascii="Arial" w:hAnsi="Arial"/>
          <w:i/>
        </w:rPr>
        <w:t>la</w:t>
      </w:r>
      <w:r>
        <w:rPr>
          <w:rFonts w:ascii="Arial" w:hAnsi="Arial"/>
          <w:i/>
          <w:spacing w:val="-6"/>
        </w:rPr>
        <w:t xml:space="preserve"> </w:t>
      </w:r>
      <w:r>
        <w:rPr>
          <w:rFonts w:ascii="Arial" w:hAnsi="Arial"/>
          <w:i/>
        </w:rPr>
        <w:t>marque</w:t>
      </w:r>
      <w:r>
        <w:rPr>
          <w:rFonts w:ascii="Arial" w:hAnsi="Arial"/>
          <w:i/>
          <w:spacing w:val="-6"/>
        </w:rPr>
        <w:t xml:space="preserve"> </w:t>
      </w:r>
      <w:r>
        <w:rPr>
          <w:rFonts w:ascii="Arial" w:hAnsi="Arial"/>
          <w:i/>
        </w:rPr>
        <w:t>«Moncler»,</w:t>
      </w:r>
      <w:r>
        <w:rPr>
          <w:rFonts w:ascii="Arial" w:hAnsi="Arial"/>
          <w:i/>
          <w:spacing w:val="-3"/>
        </w:rPr>
        <w:t xml:space="preserve"> </w:t>
      </w:r>
      <w:r>
        <w:rPr>
          <w:rFonts w:ascii="Arial" w:hAnsi="Arial"/>
          <w:i/>
        </w:rPr>
        <w:t>couvrant</w:t>
      </w:r>
      <w:r>
        <w:rPr>
          <w:rFonts w:ascii="Arial" w:hAnsi="Arial"/>
          <w:i/>
          <w:spacing w:val="-3"/>
        </w:rPr>
        <w:t xml:space="preserve"> </w:t>
      </w:r>
      <w:r>
        <w:rPr>
          <w:rFonts w:ascii="Arial" w:hAnsi="Arial"/>
          <w:i/>
        </w:rPr>
        <w:t>principalement des territoires de</w:t>
      </w:r>
      <w:r>
        <w:t>l’Union européenne (Belgique et Pays-Bas), en 2015; la</w:t>
      </w:r>
      <w:r>
        <w:rPr>
          <w:spacing w:val="-13"/>
        </w:rPr>
        <w:t xml:space="preserve"> </w:t>
      </w:r>
      <w:r>
        <w:t>plupart</w:t>
      </w:r>
      <w:r>
        <w:rPr>
          <w:spacing w:val="-11"/>
        </w:rPr>
        <w:t xml:space="preserve"> </w:t>
      </w:r>
      <w:r>
        <w:t>des</w:t>
      </w:r>
      <w:r>
        <w:rPr>
          <w:spacing w:val="-2"/>
        </w:rPr>
        <w:t xml:space="preserve"> </w:t>
      </w:r>
      <w:r>
        <w:t>extraits sont accompagnés de détails sur la diffusion des médias, le numéro d’édition et les dates, ainsi que sur la page de l’apparence de la publication, contenant les informations</w:t>
      </w:r>
      <w:r>
        <w:rPr>
          <w:spacing w:val="40"/>
        </w:rPr>
        <w:t xml:space="preserve"> </w:t>
      </w:r>
      <w:r>
        <w:t xml:space="preserve">respectives et le contenu concerné. Les publications reflètent l’histoire de la marque et les événements récents, tels que son anniversaire, la présentation de collections et de pièces spéciales, les tendances actuelles de la mode, l’association avec des célébrités, à titre </w:t>
      </w:r>
      <w:r>
        <w:rPr>
          <w:spacing w:val="-2"/>
        </w:rPr>
        <w:t>d’exemple:</w:t>
      </w:r>
    </w:p>
    <w:p w14:paraId="5E059F7B" w14:textId="77777777" w:rsidR="00E32F98" w:rsidRDefault="00000000">
      <w:pPr>
        <w:pStyle w:val="Corpsdetexte"/>
        <w:spacing w:before="14"/>
        <w:rPr>
          <w:sz w:val="20"/>
        </w:rPr>
      </w:pPr>
      <w:r>
        <w:rPr>
          <w:noProof/>
          <w:sz w:val="20"/>
        </w:rPr>
        <w:drawing>
          <wp:anchor distT="0" distB="0" distL="0" distR="0" simplePos="0" relativeHeight="487590912" behindDoc="1" locked="0" layoutInCell="1" allowOverlap="1" wp14:anchorId="38E009BB" wp14:editId="05E20DB3">
            <wp:simplePos x="0" y="0"/>
            <wp:positionH relativeFrom="page">
              <wp:posOffset>973734</wp:posOffset>
            </wp:positionH>
            <wp:positionV relativeFrom="paragraph">
              <wp:posOffset>170757</wp:posOffset>
            </wp:positionV>
            <wp:extent cx="2712560" cy="2087118"/>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3" cstate="print"/>
                    <a:stretch>
                      <a:fillRect/>
                    </a:stretch>
                  </pic:blipFill>
                  <pic:spPr>
                    <a:xfrm>
                      <a:off x="0" y="0"/>
                      <a:ext cx="2712560" cy="2087118"/>
                    </a:xfrm>
                    <a:prstGeom prst="rect">
                      <a:avLst/>
                    </a:prstGeom>
                  </pic:spPr>
                </pic:pic>
              </a:graphicData>
            </a:graphic>
          </wp:anchor>
        </w:drawing>
      </w:r>
      <w:r>
        <w:rPr>
          <w:noProof/>
          <w:sz w:val="20"/>
        </w:rPr>
        <w:drawing>
          <wp:anchor distT="0" distB="0" distL="0" distR="0" simplePos="0" relativeHeight="487591424" behindDoc="1" locked="0" layoutInCell="1" allowOverlap="1" wp14:anchorId="4C34396F" wp14:editId="0A8C3404">
            <wp:simplePos x="0" y="0"/>
            <wp:positionH relativeFrom="page">
              <wp:posOffset>3767156</wp:posOffset>
            </wp:positionH>
            <wp:positionV relativeFrom="paragraph">
              <wp:posOffset>170757</wp:posOffset>
            </wp:positionV>
            <wp:extent cx="2811275" cy="2098548"/>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4" cstate="print"/>
                    <a:stretch>
                      <a:fillRect/>
                    </a:stretch>
                  </pic:blipFill>
                  <pic:spPr>
                    <a:xfrm>
                      <a:off x="0" y="0"/>
                      <a:ext cx="2811275" cy="2098548"/>
                    </a:xfrm>
                    <a:prstGeom prst="rect">
                      <a:avLst/>
                    </a:prstGeom>
                  </pic:spPr>
                </pic:pic>
              </a:graphicData>
            </a:graphic>
          </wp:anchor>
        </w:drawing>
      </w:r>
      <w:r>
        <w:rPr>
          <w:noProof/>
          <w:sz w:val="20"/>
        </w:rPr>
        <mc:AlternateContent>
          <mc:Choice Requires="wps">
            <w:drawing>
              <wp:anchor distT="0" distB="0" distL="0" distR="0" simplePos="0" relativeHeight="487591936" behindDoc="1" locked="0" layoutInCell="1" allowOverlap="1" wp14:anchorId="3FB42504" wp14:editId="7CFCE0B1">
                <wp:simplePos x="0" y="0"/>
                <wp:positionH relativeFrom="page">
                  <wp:posOffset>986434</wp:posOffset>
                </wp:positionH>
                <wp:positionV relativeFrom="paragraph">
                  <wp:posOffset>2447093</wp:posOffset>
                </wp:positionV>
                <wp:extent cx="5627370" cy="1914525"/>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7370" cy="1914525"/>
                          <a:chOff x="0" y="0"/>
                          <a:chExt cx="5627370" cy="1914525"/>
                        </a:xfrm>
                      </wpg:grpSpPr>
                      <pic:pic xmlns:pic="http://schemas.openxmlformats.org/drawingml/2006/picture">
                        <pic:nvPicPr>
                          <pic:cNvPr id="35" name="Image 35"/>
                          <pic:cNvPicPr/>
                        </pic:nvPicPr>
                        <pic:blipFill>
                          <a:blip r:embed="rId25" cstate="print"/>
                          <a:stretch>
                            <a:fillRect/>
                          </a:stretch>
                        </pic:blipFill>
                        <pic:spPr>
                          <a:xfrm>
                            <a:off x="0" y="0"/>
                            <a:ext cx="1538986" cy="1914398"/>
                          </a:xfrm>
                          <a:prstGeom prst="rect">
                            <a:avLst/>
                          </a:prstGeom>
                        </pic:spPr>
                      </pic:pic>
                      <pic:pic xmlns:pic="http://schemas.openxmlformats.org/drawingml/2006/picture">
                        <pic:nvPicPr>
                          <pic:cNvPr id="36" name="Image 36"/>
                          <pic:cNvPicPr/>
                        </pic:nvPicPr>
                        <pic:blipFill>
                          <a:blip r:embed="rId26" cstate="print"/>
                          <a:stretch>
                            <a:fillRect/>
                          </a:stretch>
                        </pic:blipFill>
                        <pic:spPr>
                          <a:xfrm>
                            <a:off x="1578076" y="65405"/>
                            <a:ext cx="2421636" cy="1848992"/>
                          </a:xfrm>
                          <a:prstGeom prst="rect">
                            <a:avLst/>
                          </a:prstGeom>
                        </pic:spPr>
                      </pic:pic>
                      <pic:pic xmlns:pic="http://schemas.openxmlformats.org/drawingml/2006/picture">
                        <pic:nvPicPr>
                          <pic:cNvPr id="37" name="Image 37"/>
                          <pic:cNvPicPr/>
                        </pic:nvPicPr>
                        <pic:blipFill>
                          <a:blip r:embed="rId27" cstate="print"/>
                          <a:stretch>
                            <a:fillRect/>
                          </a:stretch>
                        </pic:blipFill>
                        <pic:spPr>
                          <a:xfrm>
                            <a:off x="4038701" y="92075"/>
                            <a:ext cx="1588135" cy="181100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7.671997pt;margin-top:192.684509pt;width:443.1pt;height:150.75pt;mso-position-horizontal-relative:page;mso-position-vertical-relative:paragraph;z-index:-15724544;mso-wrap-distance-left:0;mso-wrap-distance-right:0" id="docshapegroup26" coordorigin="1553,3854" coordsize="8862,3015">
                <v:shape style="position:absolute;left:1553;top:3853;width:2424;height:3015" type="#_x0000_t75" id="docshape27" stroked="false">
                  <v:imagedata r:id="rId28" o:title=""/>
                </v:shape>
                <v:shape style="position:absolute;left:4038;top:3956;width:3814;height:2912" type="#_x0000_t75" id="docshape28" stroked="false">
                  <v:imagedata r:id="rId29" o:title=""/>
                </v:shape>
                <v:shape style="position:absolute;left:7913;top:3998;width:2501;height:2852" type="#_x0000_t75" id="docshape29" stroked="false">
                  <v:imagedata r:id="rId30" o:title=""/>
                </v:shape>
                <w10:wrap type="topAndBottom"/>
              </v:group>
            </w:pict>
          </mc:Fallback>
        </mc:AlternateContent>
      </w:r>
    </w:p>
    <w:p w14:paraId="18C41890" w14:textId="77777777" w:rsidR="00E32F98" w:rsidRDefault="00E32F98">
      <w:pPr>
        <w:pStyle w:val="Corpsdetexte"/>
        <w:spacing w:before="26"/>
        <w:rPr>
          <w:sz w:val="20"/>
        </w:rPr>
      </w:pPr>
    </w:p>
    <w:p w14:paraId="35EF0EDA" w14:textId="77777777" w:rsidR="00E32F98" w:rsidRDefault="00E32F98">
      <w:pPr>
        <w:pStyle w:val="Corpsdetexte"/>
        <w:rPr>
          <w:sz w:val="20"/>
        </w:rPr>
        <w:sectPr w:rsidR="00E32F98">
          <w:headerReference w:type="default" r:id="rId31"/>
          <w:pgSz w:w="11910" w:h="16850"/>
          <w:pgMar w:top="1000" w:right="1275" w:bottom="280" w:left="1275" w:header="727" w:footer="0" w:gutter="0"/>
          <w:cols w:space="720"/>
        </w:sectPr>
      </w:pPr>
    </w:p>
    <w:p w14:paraId="2F198010" w14:textId="77777777" w:rsidR="00E32F98" w:rsidRDefault="00000000">
      <w:pPr>
        <w:pStyle w:val="Corpsdetexte"/>
        <w:spacing w:before="204"/>
        <w:rPr>
          <w:sz w:val="20"/>
        </w:rPr>
      </w:pPr>
      <w:r>
        <w:rPr>
          <w:noProof/>
          <w:sz w:val="20"/>
        </w:rPr>
        <w:lastRenderedPageBreak/>
        <mc:AlternateContent>
          <mc:Choice Requires="wps">
            <w:drawing>
              <wp:anchor distT="0" distB="0" distL="0" distR="0" simplePos="0" relativeHeight="15736320" behindDoc="0" locked="0" layoutInCell="1" allowOverlap="1" wp14:anchorId="0C44E921" wp14:editId="4AB05029">
                <wp:simplePos x="0" y="0"/>
                <wp:positionH relativeFrom="page">
                  <wp:posOffset>270575</wp:posOffset>
                </wp:positionH>
                <wp:positionV relativeFrom="page">
                  <wp:posOffset>1118555</wp:posOffset>
                </wp:positionV>
                <wp:extent cx="146050" cy="921004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427643DF"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36320" type="#_x0000_t202" id="docshape33"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0052A881" w14:textId="77777777" w:rsidR="00E32F98" w:rsidRDefault="00000000">
      <w:pPr>
        <w:pStyle w:val="Corpsdetexte"/>
        <w:ind w:left="690"/>
        <w:rPr>
          <w:sz w:val="20"/>
        </w:rPr>
      </w:pPr>
      <w:r>
        <w:rPr>
          <w:noProof/>
          <w:sz w:val="20"/>
        </w:rPr>
        <mc:AlternateContent>
          <mc:Choice Requires="wps">
            <w:drawing>
              <wp:inline distT="0" distB="0" distL="0" distR="0" wp14:anchorId="68FFFF12" wp14:editId="3FE94F00">
                <wp:extent cx="5012055" cy="1419225"/>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2055" cy="1419225"/>
                          <a:chOff x="0" y="0"/>
                          <a:chExt cx="5012055" cy="1419225"/>
                        </a:xfrm>
                      </wpg:grpSpPr>
                      <pic:pic xmlns:pic="http://schemas.openxmlformats.org/drawingml/2006/picture">
                        <pic:nvPicPr>
                          <pic:cNvPr id="43" name="Image 43"/>
                          <pic:cNvPicPr/>
                        </pic:nvPicPr>
                        <pic:blipFill>
                          <a:blip r:embed="rId32" cstate="print"/>
                          <a:stretch>
                            <a:fillRect/>
                          </a:stretch>
                        </pic:blipFill>
                        <pic:spPr>
                          <a:xfrm>
                            <a:off x="0" y="0"/>
                            <a:ext cx="1924050" cy="1419225"/>
                          </a:xfrm>
                          <a:prstGeom prst="rect">
                            <a:avLst/>
                          </a:prstGeom>
                        </pic:spPr>
                      </pic:pic>
                      <pic:pic xmlns:pic="http://schemas.openxmlformats.org/drawingml/2006/picture">
                        <pic:nvPicPr>
                          <pic:cNvPr id="44" name="Image 44"/>
                          <pic:cNvPicPr/>
                        </pic:nvPicPr>
                        <pic:blipFill>
                          <a:blip r:embed="rId33" cstate="print"/>
                          <a:stretch>
                            <a:fillRect/>
                          </a:stretch>
                        </pic:blipFill>
                        <pic:spPr>
                          <a:xfrm>
                            <a:off x="1924050" y="55244"/>
                            <a:ext cx="3087641" cy="1363979"/>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394.65pt;height:111.75pt;mso-position-horizontal-relative:char;mso-position-vertical-relative:line" id="docshapegroup34" coordorigin="0,0" coordsize="7893,2235">
                <v:shape style="position:absolute;left:0;top:0;width:3030;height:2235" type="#_x0000_t75" id="docshape35" stroked="false">
                  <v:imagedata r:id="rId34" o:title=""/>
                </v:shape>
                <v:shape style="position:absolute;left:3030;top:87;width:4863;height:2148" type="#_x0000_t75" id="docshape36" stroked="false">
                  <v:imagedata r:id="rId35" o:title=""/>
                </v:shape>
              </v:group>
            </w:pict>
          </mc:Fallback>
        </mc:AlternateContent>
      </w:r>
    </w:p>
    <w:p w14:paraId="7E17034C" w14:textId="77777777" w:rsidR="00E32F98" w:rsidRDefault="00000000">
      <w:pPr>
        <w:pStyle w:val="Corpsdetexte"/>
        <w:spacing w:before="252"/>
        <w:ind w:left="166"/>
        <w:jc w:val="both"/>
      </w:pPr>
      <w:r>
        <w:rPr>
          <w:rFonts w:ascii="Arial" w:hAnsi="Arial"/>
          <w:b/>
        </w:rPr>
        <w:t>Pièce</w:t>
      </w:r>
      <w:r>
        <w:rPr>
          <w:rFonts w:ascii="Arial" w:hAnsi="Arial"/>
          <w:b/>
          <w:spacing w:val="73"/>
        </w:rPr>
        <w:t xml:space="preserve"> </w:t>
      </w:r>
      <w:r>
        <w:rPr>
          <w:rFonts w:ascii="Arial" w:hAnsi="Arial"/>
          <w:b/>
        </w:rPr>
        <w:t>16:</w:t>
      </w:r>
      <w:r>
        <w:rPr>
          <w:rFonts w:ascii="Arial" w:hAnsi="Arial"/>
          <w:b/>
          <w:spacing w:val="52"/>
        </w:rPr>
        <w:t xml:space="preserve"> </w:t>
      </w:r>
      <w:r>
        <w:t>extraits</w:t>
      </w:r>
      <w:r>
        <w:rPr>
          <w:spacing w:val="70"/>
        </w:rPr>
        <w:t xml:space="preserve"> </w:t>
      </w:r>
      <w:r>
        <w:t>de</w:t>
      </w:r>
      <w:r>
        <w:rPr>
          <w:spacing w:val="59"/>
        </w:rPr>
        <w:t xml:space="preserve"> </w:t>
      </w:r>
      <w:r>
        <w:t>publications</w:t>
      </w:r>
      <w:r>
        <w:rPr>
          <w:spacing w:val="71"/>
        </w:rPr>
        <w:t xml:space="preserve"> </w:t>
      </w:r>
      <w:r>
        <w:t>dans</w:t>
      </w:r>
      <w:r>
        <w:rPr>
          <w:spacing w:val="70"/>
        </w:rPr>
        <w:t xml:space="preserve"> </w:t>
      </w:r>
      <w:r>
        <w:t>divers</w:t>
      </w:r>
      <w:r>
        <w:rPr>
          <w:spacing w:val="70"/>
        </w:rPr>
        <w:t xml:space="preserve"> </w:t>
      </w:r>
      <w:r>
        <w:t>médias</w:t>
      </w:r>
      <w:r>
        <w:rPr>
          <w:spacing w:val="70"/>
        </w:rPr>
        <w:t xml:space="preserve"> </w:t>
      </w:r>
      <w:r>
        <w:t>italiens</w:t>
      </w:r>
      <w:r>
        <w:rPr>
          <w:spacing w:val="71"/>
        </w:rPr>
        <w:t xml:space="preserve"> </w:t>
      </w:r>
      <w:r>
        <w:t>mentionnant</w:t>
      </w:r>
      <w:r>
        <w:rPr>
          <w:spacing w:val="48"/>
        </w:rPr>
        <w:t xml:space="preserve"> </w:t>
      </w:r>
      <w:r>
        <w:t>la</w:t>
      </w:r>
      <w:r>
        <w:rPr>
          <w:spacing w:val="45"/>
        </w:rPr>
        <w:t xml:space="preserve"> </w:t>
      </w:r>
      <w:r>
        <w:rPr>
          <w:spacing w:val="-2"/>
        </w:rPr>
        <w:t>marque</w:t>
      </w:r>
    </w:p>
    <w:p w14:paraId="53E681C8" w14:textId="77777777" w:rsidR="00E32F98" w:rsidRDefault="00000000">
      <w:pPr>
        <w:pStyle w:val="Corpsdetexte"/>
        <w:spacing w:before="6" w:line="235" w:lineRule="auto"/>
        <w:ind w:left="166" w:right="164"/>
        <w:jc w:val="both"/>
      </w:pPr>
      <w:r>
        <w:t>«Moncler», allant de 1999 à 2023 et accompagnés de détails sur la diffusion des médias,</w:t>
      </w:r>
      <w:r>
        <w:rPr>
          <w:spacing w:val="-8"/>
        </w:rPr>
        <w:t xml:space="preserve"> </w:t>
      </w:r>
      <w:r>
        <w:t>le numéro d’édition et les dates, ainsi que sur la page de l’apparence de la publication, contenant les informations et le contenu concernés.</w:t>
      </w:r>
    </w:p>
    <w:p w14:paraId="4D0DB198" w14:textId="77777777" w:rsidR="00E32F98" w:rsidRDefault="00E32F98">
      <w:pPr>
        <w:pStyle w:val="Corpsdetexte"/>
        <w:spacing w:before="5"/>
      </w:pPr>
    </w:p>
    <w:p w14:paraId="2162E931" w14:textId="77777777" w:rsidR="00E32F98" w:rsidRDefault="00000000">
      <w:pPr>
        <w:pStyle w:val="Corpsdetexte"/>
        <w:spacing w:before="1" w:line="242" w:lineRule="auto"/>
        <w:ind w:left="166" w:right="149"/>
        <w:jc w:val="both"/>
      </w:pPr>
      <w:r>
        <w:rPr>
          <w:rFonts w:ascii="Arial" w:hAnsi="Arial"/>
          <w:b/>
        </w:rPr>
        <w:t>Pièce 17:</w:t>
      </w:r>
      <w:r>
        <w:rPr>
          <w:rFonts w:ascii="Arial" w:hAnsi="Arial"/>
          <w:b/>
          <w:spacing w:val="-7"/>
        </w:rPr>
        <w:t xml:space="preserve"> </w:t>
      </w:r>
      <w:r>
        <w:t xml:space="preserve">un article, publié à </w:t>
      </w:r>
      <w:r>
        <w:rPr>
          <w:rFonts w:ascii="Arial" w:hAnsi="Arial"/>
          <w:i/>
        </w:rPr>
        <w:t>Grazia Magazine</w:t>
      </w:r>
      <w:r>
        <w:t>, intitulé: «Moncler attire le Milan</w:t>
      </w:r>
      <w:r>
        <w:rPr>
          <w:spacing w:val="-13"/>
        </w:rPr>
        <w:t xml:space="preserve"> </w:t>
      </w:r>
      <w:r>
        <w:t>central</w:t>
      </w:r>
      <w:r>
        <w:rPr>
          <w:spacing w:val="-13"/>
        </w:rPr>
        <w:t xml:space="preserve"> </w:t>
      </w:r>
      <w:r>
        <w:t>d’une semaine de mode», expliquant que, pour son</w:t>
      </w:r>
      <w:r>
        <w:rPr>
          <w:position w:val="7"/>
          <w:sz w:val="13"/>
        </w:rPr>
        <w:t>70e</w:t>
      </w:r>
      <w:r>
        <w:rPr>
          <w:spacing w:val="40"/>
          <w:position w:val="7"/>
          <w:sz w:val="13"/>
        </w:rPr>
        <w:t xml:space="preserve"> </w:t>
      </w:r>
      <w:r>
        <w:t>anniversaire, la demanderesse a introduit 700 dancers, 200 musiciens, 100 choir membres et 952 modèles (voir ci-dessous) dans le carré Duomo</w:t>
      </w:r>
      <w:r>
        <w:rPr>
          <w:spacing w:val="-14"/>
        </w:rPr>
        <w:t xml:space="preserve"> </w:t>
      </w:r>
      <w:r>
        <w:t>de Milan</w:t>
      </w:r>
      <w:r>
        <w:rPr>
          <w:spacing w:val="40"/>
        </w:rPr>
        <w:t xml:space="preserve"> </w:t>
      </w:r>
      <w:r>
        <w:t>devant</w:t>
      </w:r>
      <w:r>
        <w:rPr>
          <w:spacing w:val="40"/>
        </w:rPr>
        <w:t xml:space="preserve"> </w:t>
      </w:r>
      <w:r>
        <w:t>plus de 18,000.00 personnes:</w:t>
      </w:r>
    </w:p>
    <w:p w14:paraId="6A98AF86" w14:textId="77777777" w:rsidR="00E32F98" w:rsidRDefault="00000000">
      <w:pPr>
        <w:pStyle w:val="Corpsdetexte"/>
        <w:spacing w:before="7"/>
        <w:rPr>
          <w:sz w:val="19"/>
        </w:rPr>
      </w:pPr>
      <w:r>
        <w:rPr>
          <w:noProof/>
          <w:sz w:val="19"/>
        </w:rPr>
        <w:drawing>
          <wp:anchor distT="0" distB="0" distL="0" distR="0" simplePos="0" relativeHeight="487594496" behindDoc="1" locked="0" layoutInCell="1" allowOverlap="1" wp14:anchorId="74887755" wp14:editId="3256EAE5">
            <wp:simplePos x="0" y="0"/>
            <wp:positionH relativeFrom="page">
              <wp:posOffset>2539745</wp:posOffset>
            </wp:positionH>
            <wp:positionV relativeFrom="paragraph">
              <wp:posOffset>159037</wp:posOffset>
            </wp:positionV>
            <wp:extent cx="2494798" cy="1700783"/>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6" cstate="print"/>
                    <a:stretch>
                      <a:fillRect/>
                    </a:stretch>
                  </pic:blipFill>
                  <pic:spPr>
                    <a:xfrm>
                      <a:off x="0" y="0"/>
                      <a:ext cx="2494798" cy="1700783"/>
                    </a:xfrm>
                    <a:prstGeom prst="rect">
                      <a:avLst/>
                    </a:prstGeom>
                  </pic:spPr>
                </pic:pic>
              </a:graphicData>
            </a:graphic>
          </wp:anchor>
        </w:drawing>
      </w:r>
    </w:p>
    <w:p w14:paraId="7E92A6C1" w14:textId="77777777" w:rsidR="00E32F98" w:rsidRDefault="00000000">
      <w:pPr>
        <w:pStyle w:val="Corpsdetexte"/>
        <w:spacing w:before="252" w:line="242" w:lineRule="auto"/>
        <w:ind w:left="166" w:right="163"/>
        <w:jc w:val="both"/>
      </w:pPr>
      <w:r>
        <w:rPr>
          <w:rFonts w:ascii="Arial" w:hAnsi="Arial"/>
          <w:b/>
        </w:rPr>
        <w:t>Pièce 18:</w:t>
      </w:r>
      <w:r>
        <w:rPr>
          <w:rFonts w:ascii="Arial" w:hAnsi="Arial"/>
          <w:b/>
          <w:spacing w:val="-7"/>
        </w:rPr>
        <w:t xml:space="preserve"> </w:t>
      </w:r>
      <w:r>
        <w:t>extraits de la chaîne officielle YouTube de «Moncler», avec</w:t>
      </w:r>
      <w:r>
        <w:rPr>
          <w:spacing w:val="-2"/>
        </w:rPr>
        <w:t xml:space="preserve"> </w:t>
      </w:r>
      <w:r>
        <w:t>plus</w:t>
      </w:r>
      <w:r>
        <w:rPr>
          <w:spacing w:val="-2"/>
        </w:rPr>
        <w:t xml:space="preserve"> </w:t>
      </w:r>
      <w:r>
        <w:t>de</w:t>
      </w:r>
      <w:r>
        <w:rPr>
          <w:spacing w:val="-14"/>
        </w:rPr>
        <w:t xml:space="preserve"> </w:t>
      </w:r>
      <w:r>
        <w:t>51</w:t>
      </w:r>
      <w:r>
        <w:rPr>
          <w:spacing w:val="-14"/>
        </w:rPr>
        <w:t xml:space="preserve"> </w:t>
      </w:r>
      <w:r>
        <w:t>abonnés</w:t>
      </w:r>
      <w:r>
        <w:rPr>
          <w:spacing w:val="-2"/>
        </w:rPr>
        <w:t xml:space="preserve"> </w:t>
      </w:r>
      <w:r>
        <w:t>et plus de 250 vidéos téléchargées au fil des ans. Les vues des vidéos varient de plusieurs centaines à 16 millions (la plupart avec plusieurs milliers de vues).</w:t>
      </w:r>
    </w:p>
    <w:p w14:paraId="5B143CB6" w14:textId="77777777" w:rsidR="00E32F98" w:rsidRDefault="00000000">
      <w:pPr>
        <w:pStyle w:val="Corpsdetexte"/>
        <w:spacing w:before="240" w:line="242" w:lineRule="auto"/>
        <w:ind w:left="166" w:right="172"/>
        <w:jc w:val="both"/>
      </w:pPr>
      <w:r>
        <w:rPr>
          <w:rFonts w:ascii="Arial" w:hAnsi="Arial"/>
          <w:b/>
        </w:rPr>
        <w:t>Pièces 19 et</w:t>
      </w:r>
      <w:r>
        <w:rPr>
          <w:rFonts w:ascii="Arial" w:hAnsi="Arial"/>
          <w:b/>
          <w:spacing w:val="24"/>
        </w:rPr>
        <w:t xml:space="preserve"> </w:t>
      </w:r>
      <w:r>
        <w:rPr>
          <w:rFonts w:ascii="Arial" w:hAnsi="Arial"/>
          <w:b/>
        </w:rPr>
        <w:t xml:space="preserve">20: </w:t>
      </w:r>
      <w:r>
        <w:t>extraits</w:t>
      </w:r>
      <w:r>
        <w:rPr>
          <w:spacing w:val="31"/>
        </w:rPr>
        <w:t xml:space="preserve"> </w:t>
      </w:r>
      <w:r>
        <w:t>de la page officielle Facebook «Moncler» avec plus de 3 millions de abonnés et Instagram avec plus de 5 millions de abonnés.</w:t>
      </w:r>
    </w:p>
    <w:p w14:paraId="326A0309" w14:textId="77777777" w:rsidR="00E32F98" w:rsidRDefault="00E32F98">
      <w:pPr>
        <w:pStyle w:val="Corpsdetexte"/>
        <w:spacing w:before="1"/>
      </w:pPr>
    </w:p>
    <w:p w14:paraId="28033FD8" w14:textId="77777777" w:rsidR="00E32F98" w:rsidRDefault="00000000">
      <w:pPr>
        <w:pStyle w:val="Corpsdetexte"/>
        <w:spacing w:line="242" w:lineRule="auto"/>
        <w:ind w:left="166" w:right="147"/>
        <w:jc w:val="both"/>
      </w:pPr>
      <w:r>
        <w:rPr>
          <w:rFonts w:ascii="Arial" w:hAnsi="Arial"/>
          <w:b/>
        </w:rPr>
        <w:t>Pièce</w:t>
      </w:r>
      <w:r>
        <w:rPr>
          <w:rFonts w:ascii="Arial" w:hAnsi="Arial"/>
          <w:b/>
          <w:spacing w:val="21"/>
        </w:rPr>
        <w:t xml:space="preserve"> </w:t>
      </w:r>
      <w:r>
        <w:rPr>
          <w:rFonts w:ascii="Arial" w:hAnsi="Arial"/>
          <w:b/>
        </w:rPr>
        <w:t>21:</w:t>
      </w:r>
      <w:r>
        <w:rPr>
          <w:rFonts w:ascii="Arial" w:hAnsi="Arial"/>
          <w:b/>
          <w:spacing w:val="-2"/>
        </w:rPr>
        <w:t xml:space="preserve"> </w:t>
      </w:r>
      <w:r>
        <w:t>extraits du</w:t>
      </w:r>
      <w:r>
        <w:rPr>
          <w:spacing w:val="-8"/>
        </w:rPr>
        <w:t xml:space="preserve"> </w:t>
      </w:r>
      <w:r>
        <w:t>site</w:t>
      </w:r>
      <w:r>
        <w:rPr>
          <w:spacing w:val="-8"/>
        </w:rPr>
        <w:t xml:space="preserve"> </w:t>
      </w:r>
      <w:r>
        <w:t>internet</w:t>
      </w:r>
      <w:r>
        <w:rPr>
          <w:spacing w:val="-5"/>
        </w:rPr>
        <w:t xml:space="preserve"> </w:t>
      </w:r>
      <w:r>
        <w:t>officiel</w:t>
      </w:r>
      <w:r>
        <w:rPr>
          <w:spacing w:val="-8"/>
        </w:rPr>
        <w:t xml:space="preserve"> </w:t>
      </w:r>
      <w:r>
        <w:t>de</w:t>
      </w:r>
      <w:r>
        <w:rPr>
          <w:spacing w:val="-8"/>
        </w:rPr>
        <w:t xml:space="preserve"> </w:t>
      </w:r>
      <w:r>
        <w:t xml:space="preserve">«Moncler», </w:t>
      </w:r>
      <w:hyperlink r:id="rId37">
        <w:r>
          <w:t>www.moncler.com,</w:t>
        </w:r>
      </w:hyperlink>
      <w:r>
        <w:rPr>
          <w:spacing w:val="-5"/>
        </w:rPr>
        <w:t xml:space="preserve"> </w:t>
      </w:r>
      <w:r>
        <w:t>présentant,</w:t>
      </w:r>
      <w:r>
        <w:rPr>
          <w:spacing w:val="-5"/>
        </w:rPr>
        <w:t xml:space="preserve"> </w:t>
      </w:r>
      <w:r>
        <w:t>entre autres, divers produits avec leurs</w:t>
      </w:r>
      <w:r>
        <w:rPr>
          <w:spacing w:val="-1"/>
        </w:rPr>
        <w:t xml:space="preserve"> </w:t>
      </w:r>
      <w:r>
        <w:t>références de prix, par exemple:</w:t>
      </w:r>
    </w:p>
    <w:p w14:paraId="1FB51790" w14:textId="77777777" w:rsidR="00E32F98" w:rsidRDefault="00000000">
      <w:pPr>
        <w:pStyle w:val="Corpsdetexte"/>
        <w:spacing w:before="9"/>
        <w:rPr>
          <w:sz w:val="18"/>
        </w:rPr>
      </w:pPr>
      <w:r>
        <w:rPr>
          <w:noProof/>
          <w:sz w:val="18"/>
        </w:rPr>
        <w:drawing>
          <wp:anchor distT="0" distB="0" distL="0" distR="0" simplePos="0" relativeHeight="487595008" behindDoc="1" locked="0" layoutInCell="1" allowOverlap="1" wp14:anchorId="4B7E2623" wp14:editId="4189E97A">
            <wp:simplePos x="0" y="0"/>
            <wp:positionH relativeFrom="page">
              <wp:posOffset>1146492</wp:posOffset>
            </wp:positionH>
            <wp:positionV relativeFrom="paragraph">
              <wp:posOffset>152948</wp:posOffset>
            </wp:positionV>
            <wp:extent cx="5215297" cy="1991106"/>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8" cstate="print"/>
                    <a:stretch>
                      <a:fillRect/>
                    </a:stretch>
                  </pic:blipFill>
                  <pic:spPr>
                    <a:xfrm>
                      <a:off x="0" y="0"/>
                      <a:ext cx="5215297" cy="1991106"/>
                    </a:xfrm>
                    <a:prstGeom prst="rect">
                      <a:avLst/>
                    </a:prstGeom>
                  </pic:spPr>
                </pic:pic>
              </a:graphicData>
            </a:graphic>
          </wp:anchor>
        </w:drawing>
      </w:r>
    </w:p>
    <w:p w14:paraId="0155BDD7" w14:textId="77777777" w:rsidR="00E32F98" w:rsidRDefault="00E32F98">
      <w:pPr>
        <w:pStyle w:val="Corpsdetexte"/>
        <w:rPr>
          <w:sz w:val="18"/>
        </w:rPr>
        <w:sectPr w:rsidR="00E32F98">
          <w:headerReference w:type="default" r:id="rId39"/>
          <w:pgSz w:w="11910" w:h="16850"/>
          <w:pgMar w:top="1000" w:right="1275" w:bottom="280" w:left="1275" w:header="727" w:footer="0" w:gutter="0"/>
          <w:cols w:space="720"/>
        </w:sectPr>
      </w:pPr>
    </w:p>
    <w:p w14:paraId="5160A25E" w14:textId="77777777" w:rsidR="00E32F98" w:rsidRDefault="00000000">
      <w:pPr>
        <w:pStyle w:val="Corpsdetexte"/>
        <w:spacing w:before="188"/>
      </w:pPr>
      <w:r>
        <w:rPr>
          <w:noProof/>
        </w:rPr>
        <w:lastRenderedPageBreak/>
        <mc:AlternateContent>
          <mc:Choice Requires="wps">
            <w:drawing>
              <wp:anchor distT="0" distB="0" distL="0" distR="0" simplePos="0" relativeHeight="15736832" behindDoc="0" locked="0" layoutInCell="1" allowOverlap="1" wp14:anchorId="62CEC236" wp14:editId="30FD8A1A">
                <wp:simplePos x="0" y="0"/>
                <wp:positionH relativeFrom="page">
                  <wp:posOffset>270575</wp:posOffset>
                </wp:positionH>
                <wp:positionV relativeFrom="page">
                  <wp:posOffset>1118555</wp:posOffset>
                </wp:positionV>
                <wp:extent cx="146050" cy="921004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5600D95F"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36832" type="#_x0000_t202" id="docshape40"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0341D203" w14:textId="77777777" w:rsidR="00E32F98" w:rsidRDefault="00000000">
      <w:pPr>
        <w:pStyle w:val="Corpsdetexte"/>
        <w:spacing w:line="237" w:lineRule="auto"/>
        <w:ind w:left="166" w:right="160"/>
        <w:jc w:val="both"/>
      </w:pPr>
      <w:r>
        <w:rPr>
          <w:rFonts w:ascii="Arial" w:hAnsi="Arial"/>
          <w:b/>
        </w:rPr>
        <w:t xml:space="preserve">Pièce 22: </w:t>
      </w:r>
      <w:r>
        <w:t>un article intitulé «Moncler s 70 ans devient un film», daté du 30/09/2022, dans lequel il est expliqué qu’après</w:t>
      </w:r>
      <w:r>
        <w:rPr>
          <w:spacing w:val="40"/>
        </w:rPr>
        <w:t xml:space="preserve"> </w:t>
      </w:r>
      <w:r>
        <w:t>le 70e anniversaire «Moncler», le spectacle «Moncler» a lancé le film intitulé «The Brand of Extraordinaire», narré par Grammy sening artiste Alicia Keys, qui sera diffusé sur la télévision</w:t>
      </w:r>
      <w:r>
        <w:rPr>
          <w:spacing w:val="35"/>
        </w:rPr>
        <w:t xml:space="preserve"> </w:t>
      </w:r>
      <w:r>
        <w:t>italienne à partir du 26/09 de la même</w:t>
      </w:r>
      <w:r>
        <w:rPr>
          <w:spacing w:val="-17"/>
        </w:rPr>
        <w:t xml:space="preserve"> </w:t>
      </w:r>
      <w:r>
        <w:t>année.</w:t>
      </w:r>
    </w:p>
    <w:p w14:paraId="0F225E36" w14:textId="77777777" w:rsidR="00E32F98" w:rsidRDefault="00E32F98">
      <w:pPr>
        <w:pStyle w:val="Corpsdetexte"/>
        <w:spacing w:before="19"/>
      </w:pPr>
    </w:p>
    <w:p w14:paraId="3484FC09" w14:textId="77777777" w:rsidR="00E32F98" w:rsidRDefault="00000000">
      <w:pPr>
        <w:pStyle w:val="Corpsdetexte"/>
        <w:spacing w:line="242" w:lineRule="auto"/>
        <w:ind w:left="166" w:right="161"/>
        <w:jc w:val="both"/>
      </w:pPr>
      <w:r>
        <w:rPr>
          <w:rFonts w:ascii="Arial" w:hAnsi="Arial"/>
          <w:b/>
        </w:rPr>
        <w:t>Pièce</w:t>
      </w:r>
      <w:r>
        <w:rPr>
          <w:rFonts w:ascii="Arial" w:hAnsi="Arial"/>
          <w:b/>
          <w:spacing w:val="40"/>
        </w:rPr>
        <w:t xml:space="preserve"> </w:t>
      </w:r>
      <w:r>
        <w:rPr>
          <w:rFonts w:ascii="Arial" w:hAnsi="Arial"/>
          <w:b/>
        </w:rPr>
        <w:t xml:space="preserve">23: </w:t>
      </w:r>
      <w:r>
        <w:t>divers</w:t>
      </w:r>
      <w:r>
        <w:rPr>
          <w:spacing w:val="40"/>
        </w:rPr>
        <w:t xml:space="preserve"> </w:t>
      </w:r>
      <w:r>
        <w:t>articles</w:t>
      </w:r>
      <w:r>
        <w:rPr>
          <w:spacing w:val="40"/>
        </w:rPr>
        <w:t xml:space="preserve"> </w:t>
      </w:r>
      <w:r>
        <w:t>reflétant les</w:t>
      </w:r>
      <w:r>
        <w:rPr>
          <w:spacing w:val="40"/>
        </w:rPr>
        <w:t xml:space="preserve"> </w:t>
      </w:r>
      <w:r>
        <w:t>partenariats</w:t>
      </w:r>
      <w:r>
        <w:rPr>
          <w:spacing w:val="40"/>
        </w:rPr>
        <w:t xml:space="preserve"> </w:t>
      </w:r>
      <w:r>
        <w:t xml:space="preserve">entre «Moncler» et plusieurs personnalités de divertissement connues à l’échelle mondiale et d’autres marques, par </w:t>
      </w:r>
      <w:r>
        <w:rPr>
          <w:spacing w:val="-2"/>
        </w:rPr>
        <w:t>exemple:</w:t>
      </w:r>
    </w:p>
    <w:p w14:paraId="6CC5BB82" w14:textId="77777777" w:rsidR="00E32F98" w:rsidRDefault="00E32F98">
      <w:pPr>
        <w:pStyle w:val="Corpsdetexte"/>
        <w:spacing w:before="1"/>
      </w:pPr>
    </w:p>
    <w:p w14:paraId="78B76D0C" w14:textId="77777777" w:rsidR="00E32F98" w:rsidRDefault="00000000">
      <w:pPr>
        <w:pStyle w:val="Paragraphedeliste"/>
        <w:numPr>
          <w:ilvl w:val="0"/>
          <w:numId w:val="3"/>
        </w:numPr>
        <w:tabs>
          <w:tab w:val="left" w:pos="887"/>
        </w:tabs>
        <w:spacing w:line="242" w:lineRule="auto"/>
        <w:ind w:right="153"/>
      </w:pPr>
      <w:r>
        <w:t>«Je</w:t>
      </w:r>
      <w:r>
        <w:rPr>
          <w:spacing w:val="40"/>
        </w:rPr>
        <w:t xml:space="preserve"> </w:t>
      </w:r>
      <w:r>
        <w:t>souhaite</w:t>
      </w:r>
      <w:r>
        <w:rPr>
          <w:spacing w:val="40"/>
        </w:rPr>
        <w:t xml:space="preserve"> </w:t>
      </w:r>
      <w:r>
        <w:t>que</w:t>
      </w:r>
      <w:r>
        <w:rPr>
          <w:spacing w:val="40"/>
        </w:rPr>
        <w:t xml:space="preserve"> </w:t>
      </w:r>
      <w:r>
        <w:t>les</w:t>
      </w:r>
      <w:r>
        <w:rPr>
          <w:spacing w:val="40"/>
        </w:rPr>
        <w:t xml:space="preserve"> </w:t>
      </w:r>
      <w:r>
        <w:t>gens</w:t>
      </w:r>
      <w:r>
        <w:rPr>
          <w:spacing w:val="40"/>
        </w:rPr>
        <w:t xml:space="preserve"> </w:t>
      </w:r>
      <w:r>
        <w:t>se</w:t>
      </w:r>
      <w:r>
        <w:rPr>
          <w:spacing w:val="40"/>
        </w:rPr>
        <w:t xml:space="preserve"> </w:t>
      </w:r>
      <w:r>
        <w:t>sentent</w:t>
      </w:r>
      <w:r>
        <w:rPr>
          <w:spacing w:val="40"/>
        </w:rPr>
        <w:t xml:space="preserve"> </w:t>
      </w:r>
      <w:r>
        <w:t>instantanément</w:t>
      </w:r>
      <w:r>
        <w:rPr>
          <w:spacing w:val="40"/>
        </w:rPr>
        <w:t xml:space="preserve"> </w:t>
      </w:r>
      <w:r>
        <w:t>froid:</w:t>
      </w:r>
      <w:r>
        <w:rPr>
          <w:spacing w:val="40"/>
        </w:rPr>
        <w:t xml:space="preserve"> </w:t>
      </w:r>
      <w:r>
        <w:t>Alicia</w:t>
      </w:r>
      <w:r>
        <w:rPr>
          <w:spacing w:val="35"/>
        </w:rPr>
        <w:t xml:space="preserve"> </w:t>
      </w:r>
      <w:r>
        <w:t>Keys</w:t>
      </w:r>
      <w:r>
        <w:rPr>
          <w:spacing w:val="40"/>
        </w:rPr>
        <w:t xml:space="preserve"> </w:t>
      </w:r>
      <w:r>
        <w:t>sur</w:t>
      </w:r>
      <w:r>
        <w:rPr>
          <w:spacing w:val="40"/>
        </w:rPr>
        <w:t xml:space="preserve"> </w:t>
      </w:r>
      <w:r>
        <w:t>son spectaculaire</w:t>
      </w:r>
      <w:r>
        <w:rPr>
          <w:spacing w:val="-1"/>
        </w:rPr>
        <w:t xml:space="preserve"> </w:t>
      </w:r>
      <w:r>
        <w:t>Moncler Collaboration»,</w:t>
      </w:r>
      <w:r>
        <w:rPr>
          <w:spacing w:val="36"/>
        </w:rPr>
        <w:t xml:space="preserve"> </w:t>
      </w:r>
      <w:r>
        <w:t>daté</w:t>
      </w:r>
      <w:r>
        <w:rPr>
          <w:spacing w:val="-1"/>
        </w:rPr>
        <w:t xml:space="preserve"> </w:t>
      </w:r>
      <w:r>
        <w:t xml:space="preserve">du 09/03/2023, publié à </w:t>
      </w:r>
      <w:r>
        <w:rPr>
          <w:rFonts w:ascii="Arial" w:hAnsi="Arial"/>
          <w:i/>
        </w:rPr>
        <w:t>Vogue</w:t>
      </w:r>
      <w:r>
        <w:rPr>
          <w:rFonts w:ascii="Arial" w:hAnsi="Arial"/>
          <w:i/>
          <w:spacing w:val="-1"/>
        </w:rPr>
        <w:t xml:space="preserve"> </w:t>
      </w:r>
      <w:r>
        <w:rPr>
          <w:rFonts w:ascii="Arial" w:hAnsi="Arial"/>
          <w:i/>
        </w:rPr>
        <w:t>UK</w:t>
      </w:r>
      <w:r>
        <w:t>.</w:t>
      </w:r>
    </w:p>
    <w:p w14:paraId="2FDF6B42" w14:textId="77777777" w:rsidR="00E32F98" w:rsidRDefault="00000000">
      <w:pPr>
        <w:pStyle w:val="Paragraphedeliste"/>
        <w:numPr>
          <w:ilvl w:val="0"/>
          <w:numId w:val="3"/>
        </w:numPr>
        <w:tabs>
          <w:tab w:val="left" w:pos="887"/>
        </w:tabs>
        <w:spacing w:line="242" w:lineRule="auto"/>
        <w:ind w:right="148"/>
      </w:pPr>
      <w:r>
        <w:t>«Pharrell</w:t>
      </w:r>
      <w:r>
        <w:rPr>
          <w:spacing w:val="34"/>
        </w:rPr>
        <w:t xml:space="preserve"> </w:t>
      </w:r>
      <w:r>
        <w:t>et</w:t>
      </w:r>
      <w:r>
        <w:rPr>
          <w:spacing w:val="37"/>
        </w:rPr>
        <w:t xml:space="preserve"> </w:t>
      </w:r>
      <w:r>
        <w:t>Rick Owens</w:t>
      </w:r>
      <w:r>
        <w:rPr>
          <w:spacing w:val="32"/>
        </w:rPr>
        <w:t xml:space="preserve"> </w:t>
      </w:r>
      <w:r>
        <w:t>ont aidé Moncler throw a 10.000-person-fort genius-fest», datée du 21/02/2023,</w:t>
      </w:r>
      <w:r>
        <w:rPr>
          <w:spacing w:val="40"/>
        </w:rPr>
        <w:t xml:space="preserve"> </w:t>
      </w:r>
      <w:r>
        <w:t xml:space="preserve">publiée à </w:t>
      </w:r>
      <w:r>
        <w:rPr>
          <w:rFonts w:ascii="Arial" w:hAnsi="Arial"/>
          <w:i/>
        </w:rPr>
        <w:t>GQ</w:t>
      </w:r>
      <w:r>
        <w:t>.</w:t>
      </w:r>
    </w:p>
    <w:p w14:paraId="29228D3B" w14:textId="77777777" w:rsidR="00E32F98" w:rsidRDefault="00000000">
      <w:pPr>
        <w:pStyle w:val="Paragraphedeliste"/>
        <w:numPr>
          <w:ilvl w:val="0"/>
          <w:numId w:val="3"/>
        </w:numPr>
        <w:tabs>
          <w:tab w:val="left" w:pos="887"/>
        </w:tabs>
        <w:spacing w:line="242" w:lineRule="auto"/>
        <w:ind w:right="155"/>
      </w:pPr>
      <w:r>
        <w:t>«Moncler taps</w:t>
      </w:r>
      <w:r>
        <w:rPr>
          <w:spacing w:val="18"/>
        </w:rPr>
        <w:t xml:space="preserve"> </w:t>
      </w:r>
      <w:r>
        <w:t>Will Smith pour la</w:t>
      </w:r>
      <w:r>
        <w:rPr>
          <w:spacing w:val="-11"/>
        </w:rPr>
        <w:t xml:space="preserve"> </w:t>
      </w:r>
      <w:r>
        <w:t>dernière</w:t>
      </w:r>
      <w:r>
        <w:rPr>
          <w:spacing w:val="-11"/>
        </w:rPr>
        <w:t xml:space="preserve"> </w:t>
      </w:r>
      <w:r>
        <w:t>campagne,</w:t>
      </w:r>
      <w:r>
        <w:rPr>
          <w:spacing w:val="-8"/>
        </w:rPr>
        <w:t xml:space="preserve"> </w:t>
      </w:r>
      <w:r>
        <w:t>«Genius is born</w:t>
      </w:r>
      <w:r>
        <w:rPr>
          <w:spacing w:val="-11"/>
        </w:rPr>
        <w:t xml:space="preserve"> </w:t>
      </w:r>
      <w:r>
        <w:t>crazy»»,</w:t>
      </w:r>
      <w:r>
        <w:rPr>
          <w:spacing w:val="-8"/>
        </w:rPr>
        <w:t xml:space="preserve"> </w:t>
      </w:r>
      <w:r>
        <w:t>datée du 2019 juillet,</w:t>
      </w:r>
      <w:r>
        <w:rPr>
          <w:spacing w:val="40"/>
        </w:rPr>
        <w:t xml:space="preserve"> </w:t>
      </w:r>
      <w:r>
        <w:t xml:space="preserve">publiée dans </w:t>
      </w:r>
      <w:r>
        <w:rPr>
          <w:rFonts w:ascii="Arial" w:hAnsi="Arial"/>
          <w:i/>
        </w:rPr>
        <w:t>Fashion Network</w:t>
      </w:r>
      <w:r>
        <w:t>.</w:t>
      </w:r>
    </w:p>
    <w:p w14:paraId="2D90EA80" w14:textId="77777777" w:rsidR="00E32F98" w:rsidRDefault="00000000">
      <w:pPr>
        <w:pStyle w:val="Paragraphedeliste"/>
        <w:numPr>
          <w:ilvl w:val="0"/>
          <w:numId w:val="3"/>
        </w:numPr>
        <w:tabs>
          <w:tab w:val="left" w:pos="886"/>
        </w:tabs>
        <w:spacing w:line="238" w:lineRule="exact"/>
        <w:ind w:left="886" w:hanging="359"/>
      </w:pPr>
      <w:r>
        <w:t>«Mercedes-Benz</w:t>
      </w:r>
      <w:r>
        <w:rPr>
          <w:spacing w:val="53"/>
        </w:rPr>
        <w:t xml:space="preserve"> </w:t>
      </w:r>
      <w:r>
        <w:t>et</w:t>
      </w:r>
      <w:r>
        <w:rPr>
          <w:spacing w:val="45"/>
        </w:rPr>
        <w:t xml:space="preserve"> </w:t>
      </w:r>
      <w:r>
        <w:t>Moncler</w:t>
      </w:r>
      <w:r>
        <w:rPr>
          <w:spacing w:val="46"/>
        </w:rPr>
        <w:t xml:space="preserve"> </w:t>
      </w:r>
      <w:r>
        <w:t>l’actualité</w:t>
      </w:r>
      <w:r>
        <w:rPr>
          <w:spacing w:val="43"/>
        </w:rPr>
        <w:t xml:space="preserve"> </w:t>
      </w:r>
      <w:r>
        <w:t>devraient</w:t>
      </w:r>
      <w:r>
        <w:rPr>
          <w:spacing w:val="31"/>
        </w:rPr>
        <w:t xml:space="preserve"> </w:t>
      </w:r>
      <w:r>
        <w:t>être</w:t>
      </w:r>
      <w:r>
        <w:rPr>
          <w:spacing w:val="29"/>
        </w:rPr>
        <w:t xml:space="preserve"> </w:t>
      </w:r>
      <w:r>
        <w:t>sur</w:t>
      </w:r>
      <w:r>
        <w:rPr>
          <w:spacing w:val="33"/>
        </w:rPr>
        <w:t xml:space="preserve"> </w:t>
      </w:r>
      <w:r>
        <w:t>la</w:t>
      </w:r>
      <w:r>
        <w:rPr>
          <w:spacing w:val="29"/>
        </w:rPr>
        <w:t xml:space="preserve"> </w:t>
      </w:r>
      <w:r>
        <w:t>lune»,</w:t>
      </w:r>
      <w:r>
        <w:rPr>
          <w:spacing w:val="31"/>
        </w:rPr>
        <w:t xml:space="preserve"> </w:t>
      </w:r>
      <w:r>
        <w:t>datée</w:t>
      </w:r>
      <w:r>
        <w:rPr>
          <w:spacing w:val="29"/>
        </w:rPr>
        <w:t xml:space="preserve"> </w:t>
      </w:r>
      <w:r>
        <w:t>du</w:t>
      </w:r>
      <w:r>
        <w:rPr>
          <w:spacing w:val="29"/>
        </w:rPr>
        <w:t xml:space="preserve"> </w:t>
      </w:r>
      <w:r>
        <w:rPr>
          <w:spacing w:val="-4"/>
        </w:rPr>
        <w:t>2023</w:t>
      </w:r>
    </w:p>
    <w:p w14:paraId="2B80F0B7" w14:textId="77777777" w:rsidR="00E32F98" w:rsidRDefault="00000000">
      <w:pPr>
        <w:spacing w:before="1"/>
        <w:ind w:left="887"/>
      </w:pPr>
      <w:r>
        <w:t>février,</w:t>
      </w:r>
      <w:r>
        <w:rPr>
          <w:spacing w:val="1"/>
        </w:rPr>
        <w:t xml:space="preserve"> </w:t>
      </w:r>
      <w:r>
        <w:t>publiée</w:t>
      </w:r>
      <w:r>
        <w:rPr>
          <w:spacing w:val="1"/>
        </w:rPr>
        <w:t xml:space="preserve"> </w:t>
      </w:r>
      <w:r>
        <w:t>à</w:t>
      </w:r>
      <w:r>
        <w:rPr>
          <w:spacing w:val="4"/>
        </w:rPr>
        <w:t xml:space="preserve"> </w:t>
      </w:r>
      <w:r>
        <w:rPr>
          <w:rFonts w:ascii="Arial" w:hAnsi="Arial"/>
          <w:i/>
        </w:rPr>
        <w:t>GQ</w:t>
      </w:r>
      <w:r>
        <w:rPr>
          <w:rFonts w:ascii="Arial" w:hAnsi="Arial"/>
          <w:i/>
          <w:spacing w:val="-15"/>
        </w:rPr>
        <w:t xml:space="preserve"> </w:t>
      </w:r>
      <w:r>
        <w:rPr>
          <w:rFonts w:ascii="Arial" w:hAnsi="Arial"/>
          <w:i/>
        </w:rPr>
        <w:t>Magazine</w:t>
      </w:r>
      <w:r>
        <w:rPr>
          <w:rFonts w:ascii="Arial" w:hAnsi="Arial"/>
          <w:i/>
          <w:spacing w:val="-12"/>
        </w:rPr>
        <w:t xml:space="preserve"> </w:t>
      </w:r>
      <w:r>
        <w:rPr>
          <w:rFonts w:ascii="Arial" w:hAnsi="Arial"/>
          <w:i/>
          <w:spacing w:val="-5"/>
        </w:rPr>
        <w:t>UK</w:t>
      </w:r>
      <w:r>
        <w:rPr>
          <w:spacing w:val="-5"/>
        </w:rPr>
        <w:t>.</w:t>
      </w:r>
    </w:p>
    <w:p w14:paraId="0C9F6983" w14:textId="77777777" w:rsidR="00E32F98" w:rsidRDefault="00000000">
      <w:pPr>
        <w:pStyle w:val="Paragraphedeliste"/>
        <w:numPr>
          <w:ilvl w:val="0"/>
          <w:numId w:val="3"/>
        </w:numPr>
        <w:tabs>
          <w:tab w:val="left" w:pos="887"/>
        </w:tabs>
        <w:spacing w:before="3" w:line="242" w:lineRule="auto"/>
        <w:ind w:right="156"/>
      </w:pPr>
      <w:r>
        <w:t>«Inter x</w:t>
      </w:r>
      <w:r>
        <w:rPr>
          <w:spacing w:val="-1"/>
        </w:rPr>
        <w:t xml:space="preserve"> </w:t>
      </w:r>
      <w:r>
        <w:t>Moncler: La mode et le football avec Milan à leur</w:t>
      </w:r>
      <w:r>
        <w:rPr>
          <w:spacing w:val="-8"/>
        </w:rPr>
        <w:t xml:space="preserve"> </w:t>
      </w:r>
      <w:r>
        <w:t>cœur»,</w:t>
      </w:r>
      <w:r>
        <w:rPr>
          <w:spacing w:val="-10"/>
        </w:rPr>
        <w:t xml:space="preserve"> </w:t>
      </w:r>
      <w:r>
        <w:t>publié</w:t>
      </w:r>
      <w:r>
        <w:rPr>
          <w:spacing w:val="-13"/>
        </w:rPr>
        <w:t xml:space="preserve"> </w:t>
      </w:r>
      <w:r>
        <w:t>en</w:t>
      </w:r>
      <w:r>
        <w:rPr>
          <w:spacing w:val="-13"/>
        </w:rPr>
        <w:t xml:space="preserve"> </w:t>
      </w:r>
      <w:r>
        <w:t xml:space="preserve">décembre 2021 à </w:t>
      </w:r>
      <w:r>
        <w:rPr>
          <w:rFonts w:ascii="Arial" w:hAnsi="Arial"/>
          <w:i/>
        </w:rPr>
        <w:t>GQ Magazine UK</w:t>
      </w:r>
      <w:r>
        <w:t>.</w:t>
      </w:r>
    </w:p>
    <w:p w14:paraId="5A9F6F93" w14:textId="77777777" w:rsidR="00E32F98" w:rsidRDefault="00000000">
      <w:pPr>
        <w:pStyle w:val="Paragraphedeliste"/>
        <w:numPr>
          <w:ilvl w:val="0"/>
          <w:numId w:val="3"/>
        </w:numPr>
        <w:tabs>
          <w:tab w:val="left" w:pos="887"/>
        </w:tabs>
        <w:spacing w:line="242" w:lineRule="auto"/>
        <w:ind w:right="166"/>
      </w:pPr>
      <w:r>
        <w:t>La</w:t>
      </w:r>
      <w:r>
        <w:rPr>
          <w:spacing w:val="40"/>
        </w:rPr>
        <w:t xml:space="preserve"> </w:t>
      </w:r>
      <w:r>
        <w:t>«technologie</w:t>
      </w:r>
      <w:r>
        <w:rPr>
          <w:spacing w:val="40"/>
        </w:rPr>
        <w:t xml:space="preserve"> </w:t>
      </w:r>
      <w:r>
        <w:t>numérique</w:t>
      </w:r>
      <w:r>
        <w:rPr>
          <w:spacing w:val="40"/>
        </w:rPr>
        <w:t xml:space="preserve"> </w:t>
      </w:r>
      <w:r>
        <w:t>«Made</w:t>
      </w:r>
      <w:r>
        <w:rPr>
          <w:spacing w:val="40"/>
        </w:rPr>
        <w:t xml:space="preserve"> </w:t>
      </w:r>
      <w:r>
        <w:t>in</w:t>
      </w:r>
      <w:r>
        <w:rPr>
          <w:spacing w:val="30"/>
        </w:rPr>
        <w:t xml:space="preserve"> </w:t>
      </w:r>
      <w:r>
        <w:t>Germany»</w:t>
      </w:r>
      <w:r>
        <w:rPr>
          <w:spacing w:val="30"/>
        </w:rPr>
        <w:t xml:space="preserve"> </w:t>
      </w:r>
      <w:r>
        <w:t>est</w:t>
      </w:r>
      <w:r>
        <w:rPr>
          <w:spacing w:val="32"/>
        </w:rPr>
        <w:t xml:space="preserve"> </w:t>
      </w:r>
      <w:r>
        <w:t>l’art:</w:t>
      </w:r>
      <w:r>
        <w:rPr>
          <w:spacing w:val="32"/>
        </w:rPr>
        <w:t xml:space="preserve"> </w:t>
      </w:r>
      <w:r>
        <w:t>Leica</w:t>
      </w:r>
      <w:r>
        <w:rPr>
          <w:spacing w:val="30"/>
        </w:rPr>
        <w:t xml:space="preserve"> </w:t>
      </w:r>
      <w:r>
        <w:t>x</w:t>
      </w:r>
      <w:r>
        <w:rPr>
          <w:spacing w:val="28"/>
        </w:rPr>
        <w:t xml:space="preserve"> </w:t>
      </w:r>
      <w:r>
        <w:t>Edition</w:t>
      </w:r>
      <w:r>
        <w:rPr>
          <w:spacing w:val="30"/>
        </w:rPr>
        <w:t xml:space="preserve"> </w:t>
      </w:r>
      <w:r>
        <w:t xml:space="preserve">Moncler spécial Edition», publié sur le </w:t>
      </w:r>
      <w:r>
        <w:rPr>
          <w:rFonts w:ascii="Arial" w:hAnsi="Arial"/>
          <w:i/>
        </w:rPr>
        <w:t>site</w:t>
      </w:r>
      <w:r>
        <w:t>officiel de Leica (2014).</w:t>
      </w:r>
    </w:p>
    <w:p w14:paraId="318841F4" w14:textId="77777777" w:rsidR="00E32F98" w:rsidRDefault="00000000">
      <w:pPr>
        <w:pStyle w:val="Paragraphedeliste"/>
        <w:numPr>
          <w:ilvl w:val="0"/>
          <w:numId w:val="3"/>
        </w:numPr>
        <w:tabs>
          <w:tab w:val="left" w:pos="886"/>
        </w:tabs>
        <w:spacing w:line="246" w:lineRule="exact"/>
        <w:ind w:left="886" w:hanging="359"/>
      </w:pPr>
      <w:r>
        <w:t>«Uno</w:t>
      </w:r>
      <w:r>
        <w:rPr>
          <w:spacing w:val="11"/>
        </w:rPr>
        <w:t xml:space="preserve"> </w:t>
      </w:r>
      <w:r>
        <w:t>fête</w:t>
      </w:r>
      <w:r>
        <w:rPr>
          <w:spacing w:val="11"/>
        </w:rPr>
        <w:t xml:space="preserve"> </w:t>
      </w:r>
      <w:r>
        <w:t>son</w:t>
      </w:r>
      <w:r>
        <w:rPr>
          <w:spacing w:val="11"/>
        </w:rPr>
        <w:t xml:space="preserve"> </w:t>
      </w:r>
      <w:r>
        <w:t>50e</w:t>
      </w:r>
      <w:r>
        <w:rPr>
          <w:spacing w:val="-2"/>
        </w:rPr>
        <w:t xml:space="preserve"> </w:t>
      </w:r>
      <w:r>
        <w:t>anniversaire</w:t>
      </w:r>
      <w:r>
        <w:rPr>
          <w:spacing w:val="-2"/>
        </w:rPr>
        <w:t xml:space="preserve"> </w:t>
      </w:r>
      <w:r>
        <w:t>avec</w:t>
      </w:r>
      <w:r>
        <w:rPr>
          <w:spacing w:val="9"/>
        </w:rPr>
        <w:t xml:space="preserve"> </w:t>
      </w:r>
      <w:r>
        <w:t>Moncler</w:t>
      </w:r>
      <w:r>
        <w:rPr>
          <w:spacing w:val="2"/>
        </w:rPr>
        <w:t xml:space="preserve"> </w:t>
      </w:r>
      <w:r>
        <w:t>Genius»,</w:t>
      </w:r>
      <w:r>
        <w:rPr>
          <w:spacing w:val="1"/>
        </w:rPr>
        <w:t xml:space="preserve"> </w:t>
      </w:r>
      <w:r>
        <w:t>datée</w:t>
      </w:r>
      <w:r>
        <w:rPr>
          <w:spacing w:val="-2"/>
        </w:rPr>
        <w:t xml:space="preserve"> </w:t>
      </w:r>
      <w:r>
        <w:t>de</w:t>
      </w:r>
      <w:r>
        <w:rPr>
          <w:spacing w:val="-2"/>
        </w:rPr>
        <w:t xml:space="preserve"> </w:t>
      </w:r>
      <w:r>
        <w:t>2021,</w:t>
      </w:r>
      <w:r>
        <w:rPr>
          <w:spacing w:val="1"/>
        </w:rPr>
        <w:t xml:space="preserve"> </w:t>
      </w:r>
      <w:r>
        <w:t>publiée</w:t>
      </w:r>
      <w:r>
        <w:rPr>
          <w:spacing w:val="-2"/>
        </w:rPr>
        <w:t xml:space="preserve"> </w:t>
      </w:r>
      <w:r>
        <w:rPr>
          <w:spacing w:val="-4"/>
        </w:rPr>
        <w:t>dans</w:t>
      </w:r>
    </w:p>
    <w:p w14:paraId="53570887" w14:textId="77777777" w:rsidR="00E32F98" w:rsidRDefault="00000000">
      <w:pPr>
        <w:spacing w:line="246" w:lineRule="exact"/>
        <w:ind w:left="887"/>
      </w:pPr>
      <w:r>
        <w:rPr>
          <w:rFonts w:ascii="Arial"/>
          <w:i/>
        </w:rPr>
        <w:t>CR</w:t>
      </w:r>
      <w:r>
        <w:rPr>
          <w:rFonts w:ascii="Arial"/>
          <w:i/>
          <w:spacing w:val="-12"/>
        </w:rPr>
        <w:t xml:space="preserve"> </w:t>
      </w:r>
      <w:r>
        <w:rPr>
          <w:rFonts w:ascii="Arial"/>
          <w:i/>
        </w:rPr>
        <w:t>Fashion</w:t>
      </w:r>
      <w:r>
        <w:rPr>
          <w:rFonts w:ascii="Arial"/>
          <w:i/>
          <w:spacing w:val="11"/>
        </w:rPr>
        <w:t xml:space="preserve"> </w:t>
      </w:r>
      <w:r>
        <w:rPr>
          <w:rFonts w:ascii="Arial"/>
          <w:i/>
          <w:spacing w:val="-4"/>
        </w:rPr>
        <w:t>Book</w:t>
      </w:r>
      <w:r>
        <w:rPr>
          <w:spacing w:val="-4"/>
        </w:rPr>
        <w:t>.</w:t>
      </w:r>
    </w:p>
    <w:p w14:paraId="4CEF098B" w14:textId="77777777" w:rsidR="00E32F98" w:rsidRDefault="00000000">
      <w:pPr>
        <w:pStyle w:val="Paragraphedeliste"/>
        <w:numPr>
          <w:ilvl w:val="0"/>
          <w:numId w:val="3"/>
        </w:numPr>
        <w:tabs>
          <w:tab w:val="left" w:pos="886"/>
        </w:tabs>
        <w:spacing w:before="2"/>
        <w:ind w:left="886" w:hanging="359"/>
      </w:pPr>
      <w:r>
        <w:t>«Moncler</w:t>
      </w:r>
      <w:r>
        <w:rPr>
          <w:spacing w:val="-2"/>
        </w:rPr>
        <w:t xml:space="preserve"> </w:t>
      </w:r>
      <w:r>
        <w:t>et</w:t>
      </w:r>
      <w:r>
        <w:rPr>
          <w:spacing w:val="2"/>
        </w:rPr>
        <w:t xml:space="preserve"> </w:t>
      </w:r>
      <w:r>
        <w:t>Rimowa</w:t>
      </w:r>
      <w:r>
        <w:rPr>
          <w:spacing w:val="-22"/>
        </w:rPr>
        <w:t xml:space="preserve"> </w:t>
      </w:r>
      <w:r>
        <w:t>Partner</w:t>
      </w:r>
      <w:r>
        <w:rPr>
          <w:spacing w:val="-9"/>
        </w:rPr>
        <w:t xml:space="preserve"> </w:t>
      </w:r>
      <w:r>
        <w:t>on</w:t>
      </w:r>
      <w:r>
        <w:rPr>
          <w:spacing w:val="-14"/>
        </w:rPr>
        <w:t xml:space="preserve"> </w:t>
      </w:r>
      <w:r>
        <w:t>Reflection Luggage»,</w:t>
      </w:r>
      <w:r>
        <w:rPr>
          <w:spacing w:val="2"/>
        </w:rPr>
        <w:t xml:space="preserve"> </w:t>
      </w:r>
      <w:r>
        <w:t>publié</w:t>
      </w:r>
      <w:r>
        <w:rPr>
          <w:spacing w:val="-1"/>
        </w:rPr>
        <w:t xml:space="preserve"> </w:t>
      </w:r>
      <w:r>
        <w:t>dans</w:t>
      </w:r>
      <w:r>
        <w:rPr>
          <w:spacing w:val="-2"/>
        </w:rPr>
        <w:t xml:space="preserve"> </w:t>
      </w:r>
      <w:r>
        <w:t>le</w:t>
      </w:r>
      <w:r>
        <w:rPr>
          <w:spacing w:val="12"/>
        </w:rPr>
        <w:t xml:space="preserve"> </w:t>
      </w:r>
      <w:r>
        <w:rPr>
          <w:rFonts w:ascii="Arial" w:hAnsi="Arial"/>
          <w:i/>
        </w:rPr>
        <w:t xml:space="preserve">blog </w:t>
      </w:r>
      <w:r>
        <w:rPr>
          <w:spacing w:val="-2"/>
        </w:rPr>
        <w:t>Klekt.</w:t>
      </w:r>
    </w:p>
    <w:p w14:paraId="094E05EC" w14:textId="77777777" w:rsidR="00E32F98" w:rsidRDefault="00E32F98">
      <w:pPr>
        <w:pStyle w:val="Corpsdetexte"/>
        <w:spacing w:before="4"/>
      </w:pPr>
    </w:p>
    <w:p w14:paraId="1145DBD8" w14:textId="77777777" w:rsidR="00E32F98" w:rsidRDefault="00000000">
      <w:pPr>
        <w:pStyle w:val="Corpsdetexte"/>
        <w:spacing w:line="242" w:lineRule="auto"/>
        <w:ind w:left="166" w:right="162"/>
        <w:jc w:val="both"/>
      </w:pPr>
      <w:r>
        <w:rPr>
          <w:rFonts w:ascii="Arial" w:hAnsi="Arial"/>
          <w:b/>
        </w:rPr>
        <w:t xml:space="preserve">Pièce 24: </w:t>
      </w:r>
      <w:r>
        <w:t>listes autoproduites, contenant un aperçu des ventes (de détail et de gros) de la marque en Italie et dans le monde entre 2018 et 2020, ainsi qu’un aperçu des recettes totales, englobant</w:t>
      </w:r>
      <w:r>
        <w:rPr>
          <w:spacing w:val="40"/>
        </w:rPr>
        <w:t xml:space="preserve"> </w:t>
      </w:r>
      <w:r>
        <w:t>la période comprise</w:t>
      </w:r>
      <w:r>
        <w:rPr>
          <w:spacing w:val="-14"/>
        </w:rPr>
        <w:t xml:space="preserve"> </w:t>
      </w:r>
      <w:r>
        <w:t>entre 2011 et 2018.</w:t>
      </w:r>
    </w:p>
    <w:p w14:paraId="400FAE48" w14:textId="77777777" w:rsidR="00E32F98" w:rsidRDefault="00000000">
      <w:pPr>
        <w:pStyle w:val="Corpsdetexte"/>
        <w:spacing w:before="239" w:line="242" w:lineRule="auto"/>
        <w:ind w:left="166" w:right="162"/>
        <w:jc w:val="both"/>
      </w:pPr>
      <w:r>
        <w:rPr>
          <w:rFonts w:ascii="Arial" w:hAnsi="Arial"/>
          <w:b/>
        </w:rPr>
        <w:t>Pièce 25:</w:t>
      </w:r>
      <w:r>
        <w:rPr>
          <w:rFonts w:ascii="Arial" w:hAnsi="Arial"/>
          <w:b/>
          <w:spacing w:val="-6"/>
        </w:rPr>
        <w:t xml:space="preserve"> </w:t>
      </w:r>
      <w:r>
        <w:t>listes autoproduites contenant les «plans médiatiques Moncler», comprenant des détails sur les investissements publicitaires de la marque pour divers pays de l’UE, entre autres l’Italie,</w:t>
      </w:r>
      <w:r>
        <w:rPr>
          <w:spacing w:val="34"/>
        </w:rPr>
        <w:t xml:space="preserve"> </w:t>
      </w:r>
      <w:r>
        <w:t>la</w:t>
      </w:r>
      <w:r>
        <w:rPr>
          <w:spacing w:val="-11"/>
        </w:rPr>
        <w:t xml:space="preserve"> </w:t>
      </w:r>
      <w:r>
        <w:t>France,</w:t>
      </w:r>
      <w:r>
        <w:rPr>
          <w:spacing w:val="-8"/>
        </w:rPr>
        <w:t xml:space="preserve"> </w:t>
      </w:r>
      <w:r>
        <w:t>l’Allemagne,</w:t>
      </w:r>
      <w:r>
        <w:rPr>
          <w:spacing w:val="20"/>
        </w:rPr>
        <w:t xml:space="preserve"> </w:t>
      </w:r>
      <w:r>
        <w:t>les Pays-Bas</w:t>
      </w:r>
      <w:r>
        <w:rPr>
          <w:spacing w:val="-13"/>
        </w:rPr>
        <w:t xml:space="preserve"> </w:t>
      </w:r>
      <w:r>
        <w:t>et</w:t>
      </w:r>
      <w:r>
        <w:rPr>
          <w:spacing w:val="-8"/>
        </w:rPr>
        <w:t xml:space="preserve"> </w:t>
      </w:r>
      <w:r>
        <w:t>l’Espagne,</w:t>
      </w:r>
      <w:r>
        <w:rPr>
          <w:spacing w:val="-8"/>
        </w:rPr>
        <w:t xml:space="preserve"> </w:t>
      </w:r>
      <w:r>
        <w:t>pour la</w:t>
      </w:r>
      <w:r>
        <w:rPr>
          <w:spacing w:val="-11"/>
        </w:rPr>
        <w:t xml:space="preserve"> </w:t>
      </w:r>
      <w:r>
        <w:t>période 2009-2017.</w:t>
      </w:r>
    </w:p>
    <w:p w14:paraId="349DDE91" w14:textId="77777777" w:rsidR="00E32F98" w:rsidRDefault="00E32F98">
      <w:pPr>
        <w:pStyle w:val="Corpsdetexte"/>
        <w:spacing w:before="2"/>
      </w:pPr>
    </w:p>
    <w:p w14:paraId="2770356C" w14:textId="77777777" w:rsidR="00E32F98" w:rsidRDefault="00000000">
      <w:pPr>
        <w:pStyle w:val="Corpsdetexte"/>
        <w:ind w:left="166"/>
        <w:jc w:val="both"/>
      </w:pPr>
      <w:r>
        <w:rPr>
          <w:rFonts w:ascii="Arial" w:hAnsi="Arial"/>
          <w:b/>
        </w:rPr>
        <w:t>Pièces</w:t>
      </w:r>
      <w:r>
        <w:rPr>
          <w:rFonts w:ascii="Arial" w:hAnsi="Arial"/>
          <w:b/>
          <w:spacing w:val="-22"/>
        </w:rPr>
        <w:t xml:space="preserve"> </w:t>
      </w:r>
      <w:r>
        <w:rPr>
          <w:rFonts w:ascii="Arial" w:hAnsi="Arial"/>
          <w:b/>
        </w:rPr>
        <w:t>26:</w:t>
      </w:r>
      <w:r>
        <w:rPr>
          <w:rFonts w:ascii="Arial" w:hAnsi="Arial"/>
          <w:b/>
          <w:spacing w:val="-10"/>
        </w:rPr>
        <w:t xml:space="preserve"> </w:t>
      </w:r>
      <w:r>
        <w:t>extraits concernant</w:t>
      </w:r>
      <w:r>
        <w:rPr>
          <w:spacing w:val="-9"/>
        </w:rPr>
        <w:t xml:space="preserve"> </w:t>
      </w:r>
      <w:r>
        <w:t>l’enregistrement</w:t>
      </w:r>
      <w:r>
        <w:rPr>
          <w:spacing w:val="-9"/>
        </w:rPr>
        <w:t xml:space="preserve"> </w:t>
      </w:r>
      <w:r>
        <w:t>de</w:t>
      </w:r>
      <w:r>
        <w:rPr>
          <w:spacing w:val="2"/>
        </w:rPr>
        <w:t xml:space="preserve"> </w:t>
      </w:r>
      <w:r>
        <w:t>la</w:t>
      </w:r>
      <w:r>
        <w:rPr>
          <w:spacing w:val="-11"/>
        </w:rPr>
        <w:t xml:space="preserve"> </w:t>
      </w:r>
      <w:r>
        <w:t>MUE</w:t>
      </w:r>
      <w:r>
        <w:rPr>
          <w:spacing w:val="20"/>
        </w:rPr>
        <w:t xml:space="preserve"> </w:t>
      </w:r>
      <w:r>
        <w:rPr>
          <w:spacing w:val="-2"/>
        </w:rPr>
        <w:t>«Moncler».</w:t>
      </w:r>
    </w:p>
    <w:p w14:paraId="16BE346C" w14:textId="77777777" w:rsidR="00E32F98" w:rsidRDefault="00E32F98">
      <w:pPr>
        <w:pStyle w:val="Corpsdetexte"/>
        <w:spacing w:before="4"/>
      </w:pPr>
    </w:p>
    <w:p w14:paraId="19EDD1F4" w14:textId="77777777" w:rsidR="00E32F98" w:rsidRDefault="00000000">
      <w:pPr>
        <w:ind w:left="166"/>
        <w:jc w:val="both"/>
      </w:pPr>
      <w:r>
        <w:rPr>
          <w:rFonts w:ascii="Arial" w:hAnsi="Arial"/>
          <w:b/>
        </w:rPr>
        <w:t>Pièce</w:t>
      </w:r>
      <w:r>
        <w:rPr>
          <w:rFonts w:ascii="Arial" w:hAnsi="Arial"/>
          <w:b/>
          <w:spacing w:val="-7"/>
        </w:rPr>
        <w:t xml:space="preserve"> </w:t>
      </w:r>
      <w:r>
        <w:rPr>
          <w:rFonts w:ascii="Arial" w:hAnsi="Arial"/>
          <w:b/>
        </w:rPr>
        <w:t>27:</w:t>
      </w:r>
      <w:r>
        <w:rPr>
          <w:rFonts w:ascii="Arial" w:hAnsi="Arial"/>
          <w:b/>
          <w:spacing w:val="1"/>
        </w:rPr>
        <w:t xml:space="preserve"> </w:t>
      </w:r>
      <w:r>
        <w:t>mandat</w:t>
      </w:r>
      <w:r>
        <w:rPr>
          <w:spacing w:val="-4"/>
        </w:rPr>
        <w:t xml:space="preserve"> </w:t>
      </w:r>
      <w:r>
        <w:t>de</w:t>
      </w:r>
      <w:r>
        <w:rPr>
          <w:spacing w:val="-6"/>
        </w:rPr>
        <w:t xml:space="preserve"> </w:t>
      </w:r>
      <w:r>
        <w:rPr>
          <w:spacing w:val="-2"/>
        </w:rPr>
        <w:t>représentation.</w:t>
      </w:r>
    </w:p>
    <w:p w14:paraId="539C3264" w14:textId="77777777" w:rsidR="00E32F98" w:rsidRDefault="00000000">
      <w:pPr>
        <w:pStyle w:val="Corpsdetexte"/>
        <w:spacing w:before="243" w:line="242" w:lineRule="auto"/>
        <w:ind w:left="166" w:right="149"/>
        <w:jc w:val="both"/>
      </w:pPr>
      <w:r>
        <w:t>Le 19/07/2023 (accompagné d’une clarification du 21/07/2023), la demanderesse a produit d’autres éléments de preuve afin</w:t>
      </w:r>
      <w:r>
        <w:rPr>
          <w:spacing w:val="-10"/>
        </w:rPr>
        <w:t xml:space="preserve"> </w:t>
      </w:r>
      <w:r>
        <w:t>de</w:t>
      </w:r>
      <w:r>
        <w:rPr>
          <w:spacing w:val="-10"/>
        </w:rPr>
        <w:t xml:space="preserve"> </w:t>
      </w:r>
      <w:r>
        <w:t>compléter</w:t>
      </w:r>
      <w:r>
        <w:rPr>
          <w:spacing w:val="-5"/>
        </w:rPr>
        <w:t xml:space="preserve"> </w:t>
      </w:r>
      <w:r>
        <w:t>ses observations initiales,</w:t>
      </w:r>
      <w:r>
        <w:rPr>
          <w:spacing w:val="-7"/>
        </w:rPr>
        <w:t xml:space="preserve"> </w:t>
      </w:r>
      <w:r>
        <w:t>en</w:t>
      </w:r>
      <w:r>
        <w:rPr>
          <w:spacing w:val="-10"/>
        </w:rPr>
        <w:t xml:space="preserve"> </w:t>
      </w:r>
      <w:r>
        <w:t>particulier</w:t>
      </w:r>
      <w:r>
        <w:rPr>
          <w:spacing w:val="-5"/>
        </w:rPr>
        <w:t xml:space="preserve"> </w:t>
      </w:r>
      <w:r>
        <w:t>en</w:t>
      </w:r>
      <w:r>
        <w:rPr>
          <w:spacing w:val="-10"/>
        </w:rPr>
        <w:t xml:space="preserve"> </w:t>
      </w:r>
      <w:r>
        <w:t>ce qui concerne les éléments de</w:t>
      </w:r>
      <w:r>
        <w:rPr>
          <w:spacing w:val="-7"/>
        </w:rPr>
        <w:t xml:space="preserve"> </w:t>
      </w:r>
      <w:r>
        <w:t>preuve</w:t>
      </w:r>
      <w:r>
        <w:rPr>
          <w:spacing w:val="-7"/>
        </w:rPr>
        <w:t xml:space="preserve"> </w:t>
      </w:r>
      <w:r>
        <w:t>présentés dans la</w:t>
      </w:r>
      <w:r>
        <w:rPr>
          <w:spacing w:val="-7"/>
        </w:rPr>
        <w:t xml:space="preserve"> </w:t>
      </w:r>
      <w:r>
        <w:t>pièce</w:t>
      </w:r>
      <w:r>
        <w:rPr>
          <w:spacing w:val="-7"/>
        </w:rPr>
        <w:t xml:space="preserve"> </w:t>
      </w:r>
      <w:r>
        <w:t>16</w:t>
      </w:r>
      <w:r>
        <w:rPr>
          <w:spacing w:val="-7"/>
        </w:rPr>
        <w:t xml:space="preserve"> </w:t>
      </w:r>
      <w:r>
        <w:t>concernant</w:t>
      </w:r>
      <w:r>
        <w:rPr>
          <w:spacing w:val="-4"/>
        </w:rPr>
        <w:t xml:space="preserve"> </w:t>
      </w:r>
      <w:r>
        <w:t xml:space="preserve">des magazines et journaux italiens. La deuxième série d’éléments de preuve se compose des éléments </w:t>
      </w:r>
      <w:r>
        <w:rPr>
          <w:spacing w:val="-2"/>
        </w:rPr>
        <w:t>suivants:</w:t>
      </w:r>
    </w:p>
    <w:p w14:paraId="2A45FB60" w14:textId="77777777" w:rsidR="00E32F98" w:rsidRDefault="00E32F98">
      <w:pPr>
        <w:pStyle w:val="Corpsdetexte"/>
        <w:spacing w:before="2"/>
      </w:pPr>
    </w:p>
    <w:p w14:paraId="59C94B92" w14:textId="77777777" w:rsidR="00E32F98" w:rsidRDefault="00000000">
      <w:pPr>
        <w:pStyle w:val="Corpsdetexte"/>
        <w:spacing w:before="1" w:line="237" w:lineRule="auto"/>
        <w:ind w:left="166" w:right="156"/>
        <w:jc w:val="both"/>
      </w:pPr>
      <w:r>
        <w:rPr>
          <w:rFonts w:ascii="Arial" w:hAnsi="Arial"/>
          <w:b/>
        </w:rPr>
        <w:t xml:space="preserve">Annexes 1 à 19: </w:t>
      </w:r>
      <w:r>
        <w:t>un grand nombre d’extraits de magazines et de journaux italiens, datés entre 1999 et 2021, dans lesquels des documents ont été produits pour chaque année distincte.</w:t>
      </w:r>
      <w:r>
        <w:rPr>
          <w:spacing w:val="37"/>
        </w:rPr>
        <w:t xml:space="preserve"> </w:t>
      </w:r>
      <w:r>
        <w:t>Les</w:t>
      </w:r>
      <w:r>
        <w:rPr>
          <w:spacing w:val="40"/>
        </w:rPr>
        <w:t xml:space="preserve"> </w:t>
      </w:r>
      <w:r>
        <w:t>éléments de preuve concernent des publications dans lesquelles la marque est mentionnée, ainsi qu’une référence à des produits qui sont des articles de mode, principalement</w:t>
      </w:r>
      <w:r>
        <w:rPr>
          <w:spacing w:val="67"/>
          <w:w w:val="150"/>
        </w:rPr>
        <w:t xml:space="preserve"> </w:t>
      </w:r>
      <w:r>
        <w:t>des</w:t>
      </w:r>
      <w:r>
        <w:rPr>
          <w:spacing w:val="80"/>
          <w:w w:val="150"/>
        </w:rPr>
        <w:t xml:space="preserve"> </w:t>
      </w:r>
      <w:r>
        <w:rPr>
          <w:rFonts w:ascii="Arial" w:hAnsi="Arial"/>
          <w:i/>
        </w:rPr>
        <w:t>vestes</w:t>
      </w:r>
      <w:r>
        <w:rPr>
          <w:rFonts w:ascii="Arial" w:hAnsi="Arial"/>
          <w:i/>
          <w:spacing w:val="80"/>
          <w:w w:val="150"/>
        </w:rPr>
        <w:t xml:space="preserve"> </w:t>
      </w:r>
      <w:r>
        <w:t>et</w:t>
      </w:r>
      <w:r>
        <w:rPr>
          <w:spacing w:val="67"/>
          <w:w w:val="150"/>
        </w:rPr>
        <w:t xml:space="preserve"> </w:t>
      </w:r>
      <w:r>
        <w:t>d’autres</w:t>
      </w:r>
      <w:r>
        <w:rPr>
          <w:spacing w:val="77"/>
          <w:w w:val="150"/>
        </w:rPr>
        <w:t xml:space="preserve"> </w:t>
      </w:r>
      <w:r>
        <w:t>vêtements</w:t>
      </w:r>
      <w:r>
        <w:rPr>
          <w:spacing w:val="77"/>
          <w:w w:val="150"/>
        </w:rPr>
        <w:t xml:space="preserve"> </w:t>
      </w:r>
      <w:r>
        <w:t>de</w:t>
      </w:r>
      <w:r>
        <w:rPr>
          <w:spacing w:val="80"/>
        </w:rPr>
        <w:t xml:space="preserve"> </w:t>
      </w:r>
      <w:r>
        <w:t>dessus,</w:t>
      </w:r>
      <w:r>
        <w:rPr>
          <w:spacing w:val="67"/>
          <w:w w:val="150"/>
        </w:rPr>
        <w:t xml:space="preserve"> </w:t>
      </w:r>
      <w:r>
        <w:t>à</w:t>
      </w:r>
      <w:r>
        <w:rPr>
          <w:spacing w:val="80"/>
        </w:rPr>
        <w:t xml:space="preserve"> </w:t>
      </w:r>
      <w:r>
        <w:t>titre</w:t>
      </w:r>
      <w:r>
        <w:rPr>
          <w:spacing w:val="80"/>
        </w:rPr>
        <w:t xml:space="preserve"> </w:t>
      </w:r>
      <w:r>
        <w:t>d’exemple:</w:t>
      </w:r>
      <w:r>
        <w:rPr>
          <w:spacing w:val="67"/>
          <w:w w:val="150"/>
        </w:rPr>
        <w:t xml:space="preserve"> </w:t>
      </w:r>
      <w:r>
        <w:t>ou</w:t>
      </w:r>
    </w:p>
    <w:p w14:paraId="1A64F4A3" w14:textId="77777777" w:rsidR="00E32F98" w:rsidRDefault="00E32F98">
      <w:pPr>
        <w:pStyle w:val="Corpsdetexte"/>
        <w:spacing w:line="237" w:lineRule="auto"/>
        <w:jc w:val="both"/>
        <w:sectPr w:rsidR="00E32F98">
          <w:headerReference w:type="default" r:id="rId40"/>
          <w:pgSz w:w="11910" w:h="16850"/>
          <w:pgMar w:top="1000" w:right="1275" w:bottom="280" w:left="1275" w:header="727" w:footer="0" w:gutter="0"/>
          <w:cols w:space="720"/>
        </w:sectPr>
      </w:pPr>
    </w:p>
    <w:p w14:paraId="2E09C777" w14:textId="77777777" w:rsidR="00E32F98" w:rsidRDefault="00000000">
      <w:pPr>
        <w:pStyle w:val="Corpsdetexte"/>
        <w:spacing w:before="204"/>
        <w:rPr>
          <w:sz w:val="20"/>
        </w:rPr>
      </w:pPr>
      <w:r>
        <w:rPr>
          <w:noProof/>
          <w:sz w:val="20"/>
        </w:rPr>
        <w:lastRenderedPageBreak/>
        <mc:AlternateContent>
          <mc:Choice Requires="wps">
            <w:drawing>
              <wp:anchor distT="0" distB="0" distL="0" distR="0" simplePos="0" relativeHeight="15739392" behindDoc="0" locked="0" layoutInCell="1" allowOverlap="1" wp14:anchorId="09A7E449" wp14:editId="08ED7A06">
                <wp:simplePos x="0" y="0"/>
                <wp:positionH relativeFrom="page">
                  <wp:posOffset>270575</wp:posOffset>
                </wp:positionH>
                <wp:positionV relativeFrom="page">
                  <wp:posOffset>1118555</wp:posOffset>
                </wp:positionV>
                <wp:extent cx="146050" cy="921004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0AAF63DB"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39392" type="#_x0000_t202" id="docshape44"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4835E730" w14:textId="77777777" w:rsidR="00E32F98" w:rsidRDefault="00000000">
      <w:pPr>
        <w:pStyle w:val="Corpsdetexte"/>
        <w:ind w:left="3879"/>
        <w:rPr>
          <w:sz w:val="20"/>
        </w:rPr>
      </w:pPr>
      <w:r>
        <w:rPr>
          <w:noProof/>
          <w:sz w:val="20"/>
        </w:rPr>
        <mc:AlternateContent>
          <mc:Choice Requires="wps">
            <w:drawing>
              <wp:inline distT="0" distB="0" distL="0" distR="0" wp14:anchorId="196EDFD2" wp14:editId="4D8D3223">
                <wp:extent cx="3373754" cy="1485265"/>
                <wp:effectExtent l="0" t="0" r="0" b="634"/>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3754" cy="1485265"/>
                          <a:chOff x="0" y="0"/>
                          <a:chExt cx="3373754" cy="1485265"/>
                        </a:xfrm>
                      </wpg:grpSpPr>
                      <pic:pic xmlns:pic="http://schemas.openxmlformats.org/drawingml/2006/picture">
                        <pic:nvPicPr>
                          <pic:cNvPr id="56" name="Image 56"/>
                          <pic:cNvPicPr/>
                        </pic:nvPicPr>
                        <pic:blipFill>
                          <a:blip r:embed="rId41" cstate="print"/>
                          <a:stretch>
                            <a:fillRect/>
                          </a:stretch>
                        </pic:blipFill>
                        <pic:spPr>
                          <a:xfrm>
                            <a:off x="0" y="97155"/>
                            <a:ext cx="1603756" cy="1388109"/>
                          </a:xfrm>
                          <a:prstGeom prst="rect">
                            <a:avLst/>
                          </a:prstGeom>
                        </pic:spPr>
                      </pic:pic>
                      <pic:pic xmlns:pic="http://schemas.openxmlformats.org/drawingml/2006/picture">
                        <pic:nvPicPr>
                          <pic:cNvPr id="57" name="Image 57"/>
                          <pic:cNvPicPr/>
                        </pic:nvPicPr>
                        <pic:blipFill>
                          <a:blip r:embed="rId42" cstate="print"/>
                          <a:stretch>
                            <a:fillRect/>
                          </a:stretch>
                        </pic:blipFill>
                        <pic:spPr>
                          <a:xfrm>
                            <a:off x="1604010" y="0"/>
                            <a:ext cx="1769618" cy="148526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65.650pt;height:116.95pt;mso-position-horizontal-relative:char;mso-position-vertical-relative:line" id="docshapegroup45" coordorigin="0,0" coordsize="5313,2339">
                <v:shape style="position:absolute;left:0;top:153;width:2526;height:2186" type="#_x0000_t75" id="docshape46" stroked="false">
                  <v:imagedata r:id="rId43" o:title=""/>
                </v:shape>
                <v:shape style="position:absolute;left:2526;top:0;width:2787;height:2339" type="#_x0000_t75" id="docshape47" stroked="false">
                  <v:imagedata r:id="rId44" o:title=""/>
                </v:shape>
              </v:group>
            </w:pict>
          </mc:Fallback>
        </mc:AlternateContent>
      </w:r>
    </w:p>
    <w:p w14:paraId="56F2F6CD" w14:textId="77777777" w:rsidR="00E32F98" w:rsidRDefault="00000000">
      <w:pPr>
        <w:pStyle w:val="Corpsdetexte"/>
        <w:spacing w:before="7"/>
        <w:rPr>
          <w:sz w:val="13"/>
        </w:rPr>
      </w:pPr>
      <w:r>
        <w:rPr>
          <w:noProof/>
          <w:sz w:val="13"/>
        </w:rPr>
        <w:drawing>
          <wp:anchor distT="0" distB="0" distL="0" distR="0" simplePos="0" relativeHeight="487597056" behindDoc="1" locked="0" layoutInCell="1" allowOverlap="1" wp14:anchorId="3CC9410E" wp14:editId="0FD195D9">
            <wp:simplePos x="0" y="0"/>
            <wp:positionH relativeFrom="page">
              <wp:posOffset>3824045</wp:posOffset>
            </wp:positionH>
            <wp:positionV relativeFrom="paragraph">
              <wp:posOffset>763269</wp:posOffset>
            </wp:positionV>
            <wp:extent cx="803576" cy="1147572"/>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5" cstate="print"/>
                    <a:stretch>
                      <a:fillRect/>
                    </a:stretch>
                  </pic:blipFill>
                  <pic:spPr>
                    <a:xfrm>
                      <a:off x="0" y="0"/>
                      <a:ext cx="803576" cy="1147572"/>
                    </a:xfrm>
                    <a:prstGeom prst="rect">
                      <a:avLst/>
                    </a:prstGeom>
                  </pic:spPr>
                </pic:pic>
              </a:graphicData>
            </a:graphic>
          </wp:anchor>
        </w:drawing>
      </w:r>
      <w:r>
        <w:rPr>
          <w:noProof/>
          <w:sz w:val="13"/>
        </w:rPr>
        <w:drawing>
          <wp:anchor distT="0" distB="0" distL="0" distR="0" simplePos="0" relativeHeight="487597568" behindDoc="1" locked="0" layoutInCell="1" allowOverlap="1" wp14:anchorId="766E5E8D" wp14:editId="032E3453">
            <wp:simplePos x="0" y="0"/>
            <wp:positionH relativeFrom="page">
              <wp:posOffset>4721859</wp:posOffset>
            </wp:positionH>
            <wp:positionV relativeFrom="paragraph">
              <wp:posOffset>114935</wp:posOffset>
            </wp:positionV>
            <wp:extent cx="1568131" cy="1801558"/>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6" cstate="print"/>
                    <a:stretch>
                      <a:fillRect/>
                    </a:stretch>
                  </pic:blipFill>
                  <pic:spPr>
                    <a:xfrm>
                      <a:off x="0" y="0"/>
                      <a:ext cx="1568131" cy="1801558"/>
                    </a:xfrm>
                    <a:prstGeom prst="rect">
                      <a:avLst/>
                    </a:prstGeom>
                  </pic:spPr>
                </pic:pic>
              </a:graphicData>
            </a:graphic>
          </wp:anchor>
        </w:drawing>
      </w:r>
    </w:p>
    <w:p w14:paraId="41F2F28F" w14:textId="77777777" w:rsidR="00E32F98" w:rsidRDefault="00E32F98">
      <w:pPr>
        <w:pStyle w:val="Corpsdetexte"/>
      </w:pPr>
    </w:p>
    <w:p w14:paraId="20503ADB" w14:textId="77777777" w:rsidR="00E32F98" w:rsidRDefault="00E32F98">
      <w:pPr>
        <w:pStyle w:val="Corpsdetexte"/>
      </w:pPr>
    </w:p>
    <w:p w14:paraId="40EEB468" w14:textId="77777777" w:rsidR="00E32F98" w:rsidRDefault="00E32F98">
      <w:pPr>
        <w:pStyle w:val="Corpsdetexte"/>
      </w:pPr>
    </w:p>
    <w:p w14:paraId="208BD33F" w14:textId="77777777" w:rsidR="00E32F98" w:rsidRDefault="00E32F98">
      <w:pPr>
        <w:pStyle w:val="Corpsdetexte"/>
      </w:pPr>
    </w:p>
    <w:p w14:paraId="2F33ED15" w14:textId="77777777" w:rsidR="00E32F98" w:rsidRDefault="00E32F98">
      <w:pPr>
        <w:pStyle w:val="Corpsdetexte"/>
      </w:pPr>
    </w:p>
    <w:p w14:paraId="761B0642" w14:textId="77777777" w:rsidR="00E32F98" w:rsidRDefault="00E32F98">
      <w:pPr>
        <w:pStyle w:val="Corpsdetexte"/>
      </w:pPr>
    </w:p>
    <w:p w14:paraId="05CC04B2" w14:textId="77777777" w:rsidR="00E32F98" w:rsidRDefault="00E32F98">
      <w:pPr>
        <w:pStyle w:val="Corpsdetexte"/>
      </w:pPr>
    </w:p>
    <w:p w14:paraId="7EDCD7BC" w14:textId="77777777" w:rsidR="00E32F98" w:rsidRDefault="00E32F98">
      <w:pPr>
        <w:pStyle w:val="Corpsdetexte"/>
      </w:pPr>
    </w:p>
    <w:p w14:paraId="794D348A" w14:textId="77777777" w:rsidR="00E32F98" w:rsidRDefault="00E32F98">
      <w:pPr>
        <w:pStyle w:val="Corpsdetexte"/>
      </w:pPr>
    </w:p>
    <w:p w14:paraId="21E58C0B" w14:textId="77777777" w:rsidR="00E32F98" w:rsidRDefault="00E32F98">
      <w:pPr>
        <w:pStyle w:val="Corpsdetexte"/>
        <w:spacing w:before="5"/>
      </w:pPr>
    </w:p>
    <w:p w14:paraId="7E3A49D9" w14:textId="77777777" w:rsidR="00E32F98" w:rsidRDefault="00000000">
      <w:pPr>
        <w:pStyle w:val="Corpsdetexte"/>
        <w:spacing w:line="242" w:lineRule="auto"/>
        <w:ind w:left="166" w:right="148" w:firstLine="3964"/>
        <w:jc w:val="both"/>
      </w:pPr>
      <w:r>
        <w:rPr>
          <w:noProof/>
        </w:rPr>
        <mc:AlternateContent>
          <mc:Choice Requires="wps">
            <w:drawing>
              <wp:anchor distT="0" distB="0" distL="0" distR="0" simplePos="0" relativeHeight="487187968" behindDoc="1" locked="0" layoutInCell="1" allowOverlap="1" wp14:anchorId="1E99F340" wp14:editId="1315A058">
                <wp:simplePos x="0" y="0"/>
                <wp:positionH relativeFrom="page">
                  <wp:posOffset>914400</wp:posOffset>
                </wp:positionH>
                <wp:positionV relativeFrom="paragraph">
                  <wp:posOffset>-4765551</wp:posOffset>
                </wp:positionV>
                <wp:extent cx="2799715" cy="489331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9715" cy="4893310"/>
                          <a:chOff x="0" y="0"/>
                          <a:chExt cx="2799715" cy="4893310"/>
                        </a:xfrm>
                      </wpg:grpSpPr>
                      <pic:pic xmlns:pic="http://schemas.openxmlformats.org/drawingml/2006/picture">
                        <pic:nvPicPr>
                          <pic:cNvPr id="61" name="Image 61"/>
                          <pic:cNvPicPr/>
                        </pic:nvPicPr>
                        <pic:blipFill>
                          <a:blip r:embed="rId47" cstate="print"/>
                          <a:stretch>
                            <a:fillRect/>
                          </a:stretch>
                        </pic:blipFill>
                        <pic:spPr>
                          <a:xfrm>
                            <a:off x="0" y="55803"/>
                            <a:ext cx="867410" cy="1176934"/>
                          </a:xfrm>
                          <a:prstGeom prst="rect">
                            <a:avLst/>
                          </a:prstGeom>
                        </pic:spPr>
                      </pic:pic>
                      <pic:pic xmlns:pic="http://schemas.openxmlformats.org/drawingml/2006/picture">
                        <pic:nvPicPr>
                          <pic:cNvPr id="62" name="Image 62"/>
                          <pic:cNvPicPr/>
                        </pic:nvPicPr>
                        <pic:blipFill>
                          <a:blip r:embed="rId48" cstate="print"/>
                          <a:stretch>
                            <a:fillRect/>
                          </a:stretch>
                        </pic:blipFill>
                        <pic:spPr>
                          <a:xfrm>
                            <a:off x="1169416" y="0"/>
                            <a:ext cx="887094" cy="1233119"/>
                          </a:xfrm>
                          <a:prstGeom prst="rect">
                            <a:avLst/>
                          </a:prstGeom>
                        </pic:spPr>
                      </pic:pic>
                      <pic:pic xmlns:pic="http://schemas.openxmlformats.org/drawingml/2006/picture">
                        <pic:nvPicPr>
                          <pic:cNvPr id="63" name="Image 63"/>
                          <pic:cNvPicPr/>
                        </pic:nvPicPr>
                        <pic:blipFill>
                          <a:blip r:embed="rId49" cstate="print"/>
                          <a:stretch>
                            <a:fillRect/>
                          </a:stretch>
                        </pic:blipFill>
                        <pic:spPr>
                          <a:xfrm>
                            <a:off x="0" y="1233119"/>
                            <a:ext cx="1356995" cy="1920874"/>
                          </a:xfrm>
                          <a:prstGeom prst="rect">
                            <a:avLst/>
                          </a:prstGeom>
                        </pic:spPr>
                      </pic:pic>
                      <pic:pic xmlns:pic="http://schemas.openxmlformats.org/drawingml/2006/picture">
                        <pic:nvPicPr>
                          <pic:cNvPr id="64" name="Image 64"/>
                          <pic:cNvPicPr/>
                        </pic:nvPicPr>
                        <pic:blipFill>
                          <a:blip r:embed="rId50" cstate="print"/>
                          <a:stretch>
                            <a:fillRect/>
                          </a:stretch>
                        </pic:blipFill>
                        <pic:spPr>
                          <a:xfrm>
                            <a:off x="1430256" y="2047824"/>
                            <a:ext cx="1369077" cy="1106169"/>
                          </a:xfrm>
                          <a:prstGeom prst="rect">
                            <a:avLst/>
                          </a:prstGeom>
                        </pic:spPr>
                      </pic:pic>
                      <pic:pic xmlns:pic="http://schemas.openxmlformats.org/drawingml/2006/picture">
                        <pic:nvPicPr>
                          <pic:cNvPr id="65" name="Image 65"/>
                          <pic:cNvPicPr/>
                        </pic:nvPicPr>
                        <pic:blipFill>
                          <a:blip r:embed="rId51" cstate="print"/>
                          <a:stretch>
                            <a:fillRect/>
                          </a:stretch>
                        </pic:blipFill>
                        <pic:spPr>
                          <a:xfrm>
                            <a:off x="0" y="3153994"/>
                            <a:ext cx="1506474" cy="1739264"/>
                          </a:xfrm>
                          <a:prstGeom prst="rect">
                            <a:avLst/>
                          </a:prstGeom>
                        </pic:spPr>
                      </pic:pic>
                      <pic:pic xmlns:pic="http://schemas.openxmlformats.org/drawingml/2006/picture">
                        <pic:nvPicPr>
                          <pic:cNvPr id="66" name="Image 66"/>
                          <pic:cNvPicPr/>
                        </pic:nvPicPr>
                        <pic:blipFill>
                          <a:blip r:embed="rId52" cstate="print"/>
                          <a:stretch>
                            <a:fillRect/>
                          </a:stretch>
                        </pic:blipFill>
                        <pic:spPr>
                          <a:xfrm>
                            <a:off x="1587778" y="3402914"/>
                            <a:ext cx="930618" cy="14903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2pt;margin-top:-375.240265pt;width:220.45pt;height:385.3pt;mso-position-horizontal-relative:page;mso-position-vertical-relative:paragraph;z-index:-16128512" id="docshapegroup48" coordorigin="1440,-7505" coordsize="4409,7706">
                <v:shape style="position:absolute;left:1440;top:-7417;width:1366;height:1854" type="#_x0000_t75" id="docshape49" stroked="false">
                  <v:imagedata r:id="rId53" o:title=""/>
                </v:shape>
                <v:shape style="position:absolute;left:3281;top:-7505;width:1397;height:1942" type="#_x0000_t75" id="docshape50" stroked="false">
                  <v:imagedata r:id="rId54" o:title=""/>
                </v:shape>
                <v:shape style="position:absolute;left:1440;top:-5563;width:2137;height:3025" type="#_x0000_t75" id="docshape51" stroked="false">
                  <v:imagedata r:id="rId55" o:title=""/>
                </v:shape>
                <v:shape style="position:absolute;left:3692;top:-4280;width:2157;height:1742" type="#_x0000_t75" id="docshape52" stroked="false">
                  <v:imagedata r:id="rId56" o:title=""/>
                </v:shape>
                <v:shape style="position:absolute;left:1440;top:-2538;width:2373;height:2739" type="#_x0000_t75" id="docshape53" stroked="false">
                  <v:imagedata r:id="rId57" o:title=""/>
                </v:shape>
                <v:shape style="position:absolute;left:3940;top:-2146;width:1466;height:2347" type="#_x0000_t75" id="docshape54" stroked="false">
                  <v:imagedata r:id="rId58" o:title=""/>
                </v:shape>
                <w10:wrap type="none"/>
              </v:group>
            </w:pict>
          </mc:Fallback>
        </mc:AlternateContent>
      </w:r>
      <w:r>
        <w:t>, à tout le moins, se référer à la position de la marque dans le domaine de la mode dans un sens plus global, ou à la situation de son entreprise (c’est-à-dire l’État financier). Les extraits sont accompagnés des informations respectives</w:t>
      </w:r>
      <w:r>
        <w:rPr>
          <w:spacing w:val="40"/>
        </w:rPr>
        <w:t xml:space="preserve"> </w:t>
      </w:r>
      <w:r>
        <w:t>sur la diffusion médiatique, le numéro d’édition et les</w:t>
      </w:r>
      <w:r>
        <w:rPr>
          <w:spacing w:val="40"/>
        </w:rPr>
        <w:t xml:space="preserve"> </w:t>
      </w:r>
      <w:r>
        <w:t xml:space="preserve">dates, ainsi que sur la page d’apparition de la publication, contenant les informations respectives et le contenu </w:t>
      </w:r>
      <w:r>
        <w:rPr>
          <w:spacing w:val="-2"/>
        </w:rPr>
        <w:t>concerné.</w:t>
      </w:r>
    </w:p>
    <w:p w14:paraId="1D301174" w14:textId="77777777" w:rsidR="00E32F98" w:rsidRDefault="00E32F98">
      <w:pPr>
        <w:pStyle w:val="Corpsdetexte"/>
        <w:spacing w:before="15"/>
      </w:pPr>
    </w:p>
    <w:p w14:paraId="581A6049" w14:textId="77777777" w:rsidR="00E32F98" w:rsidRDefault="00000000">
      <w:pPr>
        <w:pStyle w:val="Corpsdetexte"/>
        <w:ind w:left="166" w:right="153"/>
        <w:jc w:val="both"/>
      </w:pPr>
      <w:r>
        <w:t>Enfin,</w:t>
      </w:r>
      <w:r>
        <w:rPr>
          <w:spacing w:val="40"/>
        </w:rPr>
        <w:t xml:space="preserve"> </w:t>
      </w:r>
      <w:r>
        <w:t>le 29/11/2023, à la</w:t>
      </w:r>
      <w:r>
        <w:rPr>
          <w:spacing w:val="40"/>
        </w:rPr>
        <w:t xml:space="preserve"> </w:t>
      </w:r>
      <w:r>
        <w:t>suite de la demande de preuve de l’usage présentée par</w:t>
      </w:r>
      <w:r>
        <w:rPr>
          <w:spacing w:val="40"/>
        </w:rPr>
        <w:t xml:space="preserve"> </w:t>
      </w:r>
      <w:r>
        <w:t>la titulaire de la marque de l’Union européenne, la demanderesse a produit des éléments de preuve supplémentaires. La demanderesse souligne que les observations portent essentiellement</w:t>
      </w:r>
      <w:r>
        <w:rPr>
          <w:spacing w:val="-4"/>
        </w:rPr>
        <w:t xml:space="preserve"> </w:t>
      </w:r>
      <w:r>
        <w:t>sur</w:t>
      </w:r>
      <w:r>
        <w:rPr>
          <w:spacing w:val="-16"/>
        </w:rPr>
        <w:t xml:space="preserve"> </w:t>
      </w:r>
      <w:r>
        <w:t>les produits/services pertinents compris</w:t>
      </w:r>
      <w:r>
        <w:rPr>
          <w:spacing w:val="-8"/>
        </w:rPr>
        <w:t xml:space="preserve"> </w:t>
      </w:r>
      <w:r>
        <w:t>dans</w:t>
      </w:r>
      <w:r>
        <w:rPr>
          <w:spacing w:val="-8"/>
        </w:rPr>
        <w:t xml:space="preserve"> </w:t>
      </w:r>
      <w:r>
        <w:t>les classes</w:t>
      </w:r>
      <w:r>
        <w:rPr>
          <w:spacing w:val="-8"/>
        </w:rPr>
        <w:t xml:space="preserve"> </w:t>
      </w:r>
      <w:r>
        <w:t>9,</w:t>
      </w:r>
      <w:r>
        <w:rPr>
          <w:spacing w:val="-3"/>
        </w:rPr>
        <w:t xml:space="preserve"> </w:t>
      </w:r>
      <w:r>
        <w:t>18,</w:t>
      </w:r>
      <w:r>
        <w:rPr>
          <w:spacing w:val="-3"/>
        </w:rPr>
        <w:t xml:space="preserve"> </w:t>
      </w:r>
      <w:r>
        <w:t>25,</w:t>
      </w:r>
      <w:r>
        <w:rPr>
          <w:spacing w:val="-3"/>
        </w:rPr>
        <w:t xml:space="preserve"> </w:t>
      </w:r>
      <w:r>
        <w:t xml:space="preserve">28 et 35 qu’elle considère comme se chevauchant ou, à tout le moins, similaires aux produits </w:t>
      </w:r>
      <w:r>
        <w:rPr>
          <w:spacing w:val="-2"/>
        </w:rPr>
        <w:t>contestés:</w:t>
      </w:r>
    </w:p>
    <w:p w14:paraId="06ECC5DC" w14:textId="77777777" w:rsidR="00E32F98" w:rsidRDefault="00E32F98">
      <w:pPr>
        <w:pStyle w:val="Corpsdetexte"/>
        <w:spacing w:before="1"/>
      </w:pPr>
    </w:p>
    <w:p w14:paraId="446F4DA2" w14:textId="77777777" w:rsidR="00E32F98" w:rsidRDefault="00000000">
      <w:pPr>
        <w:pStyle w:val="Corpsdetexte"/>
        <w:ind w:left="166"/>
        <w:jc w:val="both"/>
      </w:pPr>
      <w:r>
        <w:rPr>
          <w:rFonts w:ascii="Arial" w:hAnsi="Arial"/>
          <w:b/>
        </w:rPr>
        <w:t>Annexe</w:t>
      </w:r>
      <w:r>
        <w:rPr>
          <w:rFonts w:ascii="Arial" w:hAnsi="Arial"/>
          <w:b/>
          <w:spacing w:val="60"/>
        </w:rPr>
        <w:t xml:space="preserve"> </w:t>
      </w:r>
      <w:r>
        <w:rPr>
          <w:rFonts w:ascii="Arial" w:hAnsi="Arial"/>
          <w:b/>
        </w:rPr>
        <w:t>1:</w:t>
      </w:r>
      <w:r>
        <w:rPr>
          <w:rFonts w:ascii="Arial" w:hAnsi="Arial"/>
          <w:b/>
          <w:spacing w:val="40"/>
        </w:rPr>
        <w:t xml:space="preserve"> </w:t>
      </w:r>
      <w:r>
        <w:t>extraits</w:t>
      </w:r>
      <w:r>
        <w:rPr>
          <w:spacing w:val="58"/>
        </w:rPr>
        <w:t xml:space="preserve"> </w:t>
      </w:r>
      <w:r>
        <w:t>des</w:t>
      </w:r>
      <w:r>
        <w:rPr>
          <w:spacing w:val="58"/>
        </w:rPr>
        <w:t xml:space="preserve"> </w:t>
      </w:r>
      <w:r>
        <w:t>accords</w:t>
      </w:r>
      <w:r>
        <w:rPr>
          <w:spacing w:val="58"/>
        </w:rPr>
        <w:t xml:space="preserve"> </w:t>
      </w:r>
      <w:r>
        <w:t>de</w:t>
      </w:r>
      <w:r>
        <w:rPr>
          <w:spacing w:val="47"/>
        </w:rPr>
        <w:t xml:space="preserve"> </w:t>
      </w:r>
      <w:r>
        <w:t>licence</w:t>
      </w:r>
      <w:r>
        <w:rPr>
          <w:spacing w:val="46"/>
        </w:rPr>
        <w:t xml:space="preserve"> </w:t>
      </w:r>
      <w:r>
        <w:t>exécutés</w:t>
      </w:r>
      <w:r>
        <w:rPr>
          <w:spacing w:val="58"/>
        </w:rPr>
        <w:t xml:space="preserve"> </w:t>
      </w:r>
      <w:r>
        <w:t>entre</w:t>
      </w:r>
      <w:r>
        <w:rPr>
          <w:spacing w:val="47"/>
        </w:rPr>
        <w:t xml:space="preserve"> </w:t>
      </w:r>
      <w:r>
        <w:t>Moncler</w:t>
      </w:r>
      <w:r>
        <w:rPr>
          <w:spacing w:val="51"/>
        </w:rPr>
        <w:t xml:space="preserve"> </w:t>
      </w:r>
      <w:r>
        <w:t>S.p.A.</w:t>
      </w:r>
      <w:r>
        <w:rPr>
          <w:spacing w:val="35"/>
        </w:rPr>
        <w:t xml:space="preserve"> </w:t>
      </w:r>
      <w:r>
        <w:t>et</w:t>
      </w:r>
      <w:r>
        <w:rPr>
          <w:spacing w:val="36"/>
        </w:rPr>
        <w:t xml:space="preserve"> </w:t>
      </w:r>
      <w:r>
        <w:rPr>
          <w:spacing w:val="-2"/>
        </w:rPr>
        <w:t>Industries</w:t>
      </w:r>
    </w:p>
    <w:p w14:paraId="7D0208FA" w14:textId="77777777" w:rsidR="00E32F98" w:rsidRDefault="00000000">
      <w:pPr>
        <w:pStyle w:val="Corpsdetexte"/>
        <w:spacing w:before="3" w:line="242" w:lineRule="auto"/>
        <w:ind w:left="166" w:right="159"/>
        <w:jc w:val="both"/>
      </w:pPr>
      <w:r>
        <w:t>S.p.A.</w:t>
      </w:r>
      <w:r>
        <w:rPr>
          <w:spacing w:val="33"/>
        </w:rPr>
        <w:t xml:space="preserve"> </w:t>
      </w:r>
      <w:r>
        <w:t>— premier accord daté du 15/03/2010 (en italien) et le dernier renouvellement daté</w:t>
      </w:r>
      <w:r>
        <w:rPr>
          <w:spacing w:val="40"/>
        </w:rPr>
        <w:t xml:space="preserve"> </w:t>
      </w:r>
      <w:r>
        <w:t>du 16/03/2022 (en anglais) — par lesquels Moncler accordait à ce tiers la licence exclusive pour fabriquer,</w:t>
      </w:r>
      <w:r>
        <w:rPr>
          <w:spacing w:val="36"/>
        </w:rPr>
        <w:t xml:space="preserve"> </w:t>
      </w:r>
      <w:r>
        <w:t>vendre</w:t>
      </w:r>
      <w:r>
        <w:rPr>
          <w:spacing w:val="-1"/>
        </w:rPr>
        <w:t xml:space="preserve"> </w:t>
      </w:r>
      <w:r>
        <w:t>et distribuer des produits sous</w:t>
      </w:r>
      <w:r>
        <w:rPr>
          <w:spacing w:val="-3"/>
        </w:rPr>
        <w:t xml:space="preserve"> </w:t>
      </w:r>
      <w:r>
        <w:t>la marque</w:t>
      </w:r>
      <w:r>
        <w:rPr>
          <w:spacing w:val="-1"/>
        </w:rPr>
        <w:t xml:space="preserve"> </w:t>
      </w:r>
      <w:r>
        <w:t>«Moncler».</w:t>
      </w:r>
    </w:p>
    <w:p w14:paraId="521F69D0" w14:textId="77777777" w:rsidR="00E32F98" w:rsidRDefault="00000000">
      <w:pPr>
        <w:pStyle w:val="Corpsdetexte"/>
        <w:spacing w:before="239" w:line="242" w:lineRule="auto"/>
        <w:ind w:left="166" w:right="109"/>
      </w:pPr>
      <w:r>
        <w:rPr>
          <w:rFonts w:ascii="Arial" w:hAnsi="Arial"/>
          <w:b/>
        </w:rPr>
        <w:t>Annexe 2:</w:t>
      </w:r>
      <w:r>
        <w:rPr>
          <w:rFonts w:ascii="Arial" w:hAnsi="Arial"/>
          <w:b/>
          <w:spacing w:val="-6"/>
        </w:rPr>
        <w:t xml:space="preserve"> </w:t>
      </w:r>
      <w:r>
        <w:t>factures relatives à la vente de produits portant la marque «Moncler» entre 2011 et</w:t>
      </w:r>
      <w:r>
        <w:rPr>
          <w:spacing w:val="46"/>
        </w:rPr>
        <w:t xml:space="preserve"> </w:t>
      </w:r>
      <w:r>
        <w:t>2023</w:t>
      </w:r>
      <w:r>
        <w:rPr>
          <w:spacing w:val="45"/>
        </w:rPr>
        <w:t xml:space="preserve"> </w:t>
      </w:r>
      <w:r>
        <w:t>en</w:t>
      </w:r>
      <w:r>
        <w:rPr>
          <w:spacing w:val="44"/>
        </w:rPr>
        <w:t xml:space="preserve"> </w:t>
      </w:r>
      <w:r>
        <w:t>Italie,</w:t>
      </w:r>
      <w:r>
        <w:rPr>
          <w:spacing w:val="46"/>
        </w:rPr>
        <w:t xml:space="preserve"> </w:t>
      </w:r>
      <w:r>
        <w:t>en</w:t>
      </w:r>
      <w:r>
        <w:rPr>
          <w:spacing w:val="30"/>
        </w:rPr>
        <w:t xml:space="preserve"> </w:t>
      </w:r>
      <w:r>
        <w:t>particulier</w:t>
      </w:r>
      <w:r>
        <w:rPr>
          <w:spacing w:val="35"/>
        </w:rPr>
        <w:t xml:space="preserve"> </w:t>
      </w:r>
      <w:r>
        <w:t>pour</w:t>
      </w:r>
      <w:r>
        <w:rPr>
          <w:spacing w:val="35"/>
        </w:rPr>
        <w:t xml:space="preserve"> </w:t>
      </w:r>
      <w:r>
        <w:t>des</w:t>
      </w:r>
      <w:r>
        <w:rPr>
          <w:spacing w:val="41"/>
        </w:rPr>
        <w:t xml:space="preserve"> </w:t>
      </w:r>
      <w:r>
        <w:t>vêtements</w:t>
      </w:r>
      <w:r>
        <w:rPr>
          <w:spacing w:val="41"/>
        </w:rPr>
        <w:t xml:space="preserve"> </w:t>
      </w:r>
      <w:r>
        <w:t>(par</w:t>
      </w:r>
      <w:r>
        <w:rPr>
          <w:spacing w:val="35"/>
        </w:rPr>
        <w:t xml:space="preserve"> </w:t>
      </w:r>
      <w:r>
        <w:t>exemple,</w:t>
      </w:r>
      <w:r>
        <w:rPr>
          <w:spacing w:val="33"/>
        </w:rPr>
        <w:t xml:space="preserve"> </w:t>
      </w:r>
      <w:r>
        <w:t>des</w:t>
      </w:r>
      <w:r>
        <w:rPr>
          <w:spacing w:val="42"/>
        </w:rPr>
        <w:t xml:space="preserve"> </w:t>
      </w:r>
      <w:r>
        <w:t>vestes</w:t>
      </w:r>
      <w:r>
        <w:rPr>
          <w:spacing w:val="41"/>
        </w:rPr>
        <w:t xml:space="preserve"> </w:t>
      </w:r>
      <w:r>
        <w:rPr>
          <w:spacing w:val="-2"/>
        </w:rPr>
        <w:t>parallèles</w:t>
      </w:r>
    </w:p>
    <w:p w14:paraId="1A2B284E" w14:textId="77777777" w:rsidR="00E32F98" w:rsidRDefault="00000000">
      <w:pPr>
        <w:pStyle w:val="Corpsdetexte"/>
        <w:spacing w:line="252" w:lineRule="exact"/>
        <w:ind w:left="166"/>
      </w:pPr>
      <w:r>
        <w:t>«giubbotto»</w:t>
      </w:r>
      <w:r>
        <w:rPr>
          <w:spacing w:val="41"/>
        </w:rPr>
        <w:t xml:space="preserve"> </w:t>
      </w:r>
      <w:r>
        <w:t>en</w:t>
      </w:r>
      <w:r>
        <w:rPr>
          <w:spacing w:val="42"/>
        </w:rPr>
        <w:t xml:space="preserve"> </w:t>
      </w:r>
      <w:r>
        <w:t>italien</w:t>
      </w:r>
      <w:r>
        <w:rPr>
          <w:spacing w:val="42"/>
        </w:rPr>
        <w:t xml:space="preserve"> </w:t>
      </w:r>
      <w:r>
        <w:t>occupés,</w:t>
      </w:r>
      <w:r>
        <w:rPr>
          <w:spacing w:val="44"/>
        </w:rPr>
        <w:t xml:space="preserve"> </w:t>
      </w:r>
      <w:r>
        <w:t>des</w:t>
      </w:r>
      <w:r>
        <w:rPr>
          <w:spacing w:val="39"/>
        </w:rPr>
        <w:t xml:space="preserve"> </w:t>
      </w:r>
      <w:r>
        <w:t>pantalons</w:t>
      </w:r>
      <w:r>
        <w:rPr>
          <w:spacing w:val="40"/>
        </w:rPr>
        <w:t xml:space="preserve"> </w:t>
      </w:r>
      <w:r>
        <w:t>«Pantalone»</w:t>
      </w:r>
      <w:r>
        <w:rPr>
          <w:spacing w:val="28"/>
        </w:rPr>
        <w:t xml:space="preserve"> </w:t>
      </w:r>
      <w:r>
        <w:t>en</w:t>
      </w:r>
      <w:r>
        <w:rPr>
          <w:spacing w:val="28"/>
        </w:rPr>
        <w:t xml:space="preserve"> </w:t>
      </w:r>
      <w:r>
        <w:t>italien,</w:t>
      </w:r>
      <w:r>
        <w:rPr>
          <w:spacing w:val="32"/>
        </w:rPr>
        <w:t xml:space="preserve"> </w:t>
      </w:r>
      <w:r>
        <w:t>du</w:t>
      </w:r>
      <w:r>
        <w:rPr>
          <w:spacing w:val="28"/>
        </w:rPr>
        <w:t xml:space="preserve"> </w:t>
      </w:r>
      <w:r>
        <w:t>jersey</w:t>
      </w:r>
      <w:r>
        <w:rPr>
          <w:spacing w:val="27"/>
        </w:rPr>
        <w:t xml:space="preserve"> </w:t>
      </w:r>
      <w:r>
        <w:rPr>
          <w:spacing w:val="-2"/>
        </w:rPr>
        <w:t>signifiée</w:t>
      </w:r>
    </w:p>
    <w:p w14:paraId="04B606B7" w14:textId="77777777" w:rsidR="00E32F98" w:rsidRDefault="00000000">
      <w:pPr>
        <w:pStyle w:val="Corpsdetexte"/>
        <w:spacing w:before="2"/>
        <w:ind w:left="166"/>
      </w:pPr>
      <w:r>
        <w:t>«maglia»</w:t>
      </w:r>
      <w:r>
        <w:rPr>
          <w:spacing w:val="30"/>
        </w:rPr>
        <w:t xml:space="preserve"> </w:t>
      </w:r>
      <w:r>
        <w:t>en</w:t>
      </w:r>
      <w:r>
        <w:rPr>
          <w:spacing w:val="31"/>
        </w:rPr>
        <w:t xml:space="preserve"> </w:t>
      </w:r>
      <w:r>
        <w:t>italien</w:t>
      </w:r>
      <w:r>
        <w:rPr>
          <w:spacing w:val="30"/>
        </w:rPr>
        <w:t xml:space="preserve"> </w:t>
      </w:r>
      <w:r>
        <w:t>occupés,</w:t>
      </w:r>
      <w:r>
        <w:rPr>
          <w:spacing w:val="33"/>
        </w:rPr>
        <w:t xml:space="preserve"> </w:t>
      </w:r>
      <w:r>
        <w:t>des</w:t>
      </w:r>
      <w:r>
        <w:rPr>
          <w:spacing w:val="42"/>
        </w:rPr>
        <w:t xml:space="preserve"> </w:t>
      </w:r>
      <w:r>
        <w:t>chapeaux</w:t>
      </w:r>
      <w:r>
        <w:rPr>
          <w:spacing w:val="29"/>
        </w:rPr>
        <w:t xml:space="preserve"> </w:t>
      </w:r>
      <w:r>
        <w:t>turcs</w:t>
      </w:r>
      <w:r>
        <w:rPr>
          <w:spacing w:val="41"/>
        </w:rPr>
        <w:t xml:space="preserve"> </w:t>
      </w:r>
      <w:r>
        <w:t>«cappello»</w:t>
      </w:r>
      <w:r>
        <w:rPr>
          <w:spacing w:val="17"/>
        </w:rPr>
        <w:t xml:space="preserve"> </w:t>
      </w:r>
      <w:r>
        <w:t>en</w:t>
      </w:r>
      <w:r>
        <w:rPr>
          <w:spacing w:val="17"/>
        </w:rPr>
        <w:t xml:space="preserve"> </w:t>
      </w:r>
      <w:r>
        <w:t>italien</w:t>
      </w:r>
      <w:r>
        <w:rPr>
          <w:spacing w:val="16"/>
        </w:rPr>
        <w:t xml:space="preserve"> </w:t>
      </w:r>
      <w:r>
        <w:t>pourrez</w:t>
      </w:r>
      <w:r>
        <w:rPr>
          <w:spacing w:val="28"/>
        </w:rPr>
        <w:t xml:space="preserve"> </w:t>
      </w:r>
      <w:r>
        <w:t>«gilet»</w:t>
      </w:r>
      <w:r>
        <w:rPr>
          <w:spacing w:val="17"/>
        </w:rPr>
        <w:t xml:space="preserve"> </w:t>
      </w:r>
      <w:r>
        <w:rPr>
          <w:spacing w:val="-5"/>
        </w:rPr>
        <w:t>en</w:t>
      </w:r>
    </w:p>
    <w:p w14:paraId="562C4DCE" w14:textId="77777777" w:rsidR="00E32F98" w:rsidRDefault="00E32F98">
      <w:pPr>
        <w:pStyle w:val="Corpsdetexte"/>
        <w:sectPr w:rsidR="00E32F98">
          <w:headerReference w:type="default" r:id="rId59"/>
          <w:pgSz w:w="11910" w:h="16850"/>
          <w:pgMar w:top="1000" w:right="1275" w:bottom="280" w:left="1275" w:header="727" w:footer="0" w:gutter="0"/>
          <w:cols w:space="720"/>
        </w:sectPr>
      </w:pPr>
    </w:p>
    <w:p w14:paraId="7CB1C1EE" w14:textId="77777777" w:rsidR="00E32F98" w:rsidRDefault="00000000">
      <w:pPr>
        <w:pStyle w:val="Corpsdetexte"/>
        <w:spacing w:before="188"/>
      </w:pPr>
      <w:r>
        <w:rPr>
          <w:noProof/>
        </w:rPr>
        <w:lastRenderedPageBreak/>
        <mc:AlternateContent>
          <mc:Choice Requires="wps">
            <w:drawing>
              <wp:anchor distT="0" distB="0" distL="0" distR="0" simplePos="0" relativeHeight="15739904" behindDoc="0" locked="0" layoutInCell="1" allowOverlap="1" wp14:anchorId="3FB4FC07" wp14:editId="1D356AE4">
                <wp:simplePos x="0" y="0"/>
                <wp:positionH relativeFrom="page">
                  <wp:posOffset>270575</wp:posOffset>
                </wp:positionH>
                <wp:positionV relativeFrom="page">
                  <wp:posOffset>1118555</wp:posOffset>
                </wp:positionV>
                <wp:extent cx="146050" cy="921004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7C0C9550"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39904" type="#_x0000_t202" id="docshape58"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4A69CF75" w14:textId="77777777" w:rsidR="00E32F98" w:rsidRDefault="00000000">
      <w:pPr>
        <w:pStyle w:val="Corpsdetexte"/>
        <w:spacing w:line="237" w:lineRule="auto"/>
        <w:ind w:left="166" w:right="160"/>
        <w:jc w:val="both"/>
      </w:pPr>
      <w:r>
        <w:t>italiguina München, foulf consentis ‘sciarpa’ en italien, ‘foulhe’ en italien, ‘fould’ dans les foulards en italien, ‘gilet’ en italique ceintures survient ‘cintura’ en italien survient, sacs encouru ‘borsa’ en italien, sacs à dos acs ‘zaino’ en italien poursuivies ‘zaino’ en italien, trousses</w:t>
      </w:r>
      <w:r>
        <w:rPr>
          <w:spacing w:val="-14"/>
        </w:rPr>
        <w:t xml:space="preserve"> </w:t>
      </w:r>
      <w:r>
        <w:t>de</w:t>
      </w:r>
      <w:r>
        <w:rPr>
          <w:spacing w:val="-4"/>
        </w:rPr>
        <w:t xml:space="preserve"> </w:t>
      </w:r>
      <w:r>
        <w:t>beauté, casques</w:t>
      </w:r>
      <w:r>
        <w:rPr>
          <w:spacing w:val="-6"/>
        </w:rPr>
        <w:t xml:space="preserve"> </w:t>
      </w:r>
      <w:r>
        <w:t>analysée ‘casco’</w:t>
      </w:r>
      <w:r>
        <w:rPr>
          <w:spacing w:val="-16"/>
        </w:rPr>
        <w:t xml:space="preserve"> </w:t>
      </w:r>
      <w:r>
        <w:t>en</w:t>
      </w:r>
      <w:r>
        <w:rPr>
          <w:spacing w:val="-3"/>
        </w:rPr>
        <w:t xml:space="preserve"> </w:t>
      </w:r>
      <w:r>
        <w:t>italien survient, casques</w:t>
      </w:r>
      <w:r>
        <w:rPr>
          <w:spacing w:val="-6"/>
        </w:rPr>
        <w:t xml:space="preserve"> </w:t>
      </w:r>
      <w:r>
        <w:t>serveur,</w:t>
      </w:r>
      <w:r>
        <w:rPr>
          <w:spacing w:val="-1"/>
        </w:rPr>
        <w:t xml:space="preserve"> </w:t>
      </w:r>
      <w:r>
        <w:t>casco</w:t>
      </w:r>
      <w:r>
        <w:rPr>
          <w:spacing w:val="-16"/>
        </w:rPr>
        <w:t xml:space="preserve"> </w:t>
      </w:r>
      <w:r>
        <w:t>da sci en italien</w:t>
      </w:r>
      <w:r>
        <w:rPr>
          <w:spacing w:val="40"/>
        </w:rPr>
        <w:t xml:space="preserve"> </w:t>
      </w:r>
      <w:r>
        <w:t>survient.</w:t>
      </w:r>
    </w:p>
    <w:p w14:paraId="5848890E" w14:textId="77777777" w:rsidR="00E32F98" w:rsidRDefault="00E32F98">
      <w:pPr>
        <w:pStyle w:val="Corpsdetexte"/>
        <w:spacing w:before="9"/>
      </w:pPr>
    </w:p>
    <w:p w14:paraId="71BEB7D9" w14:textId="77777777" w:rsidR="00E32F98" w:rsidRDefault="00000000">
      <w:pPr>
        <w:pStyle w:val="Corpsdetexte"/>
        <w:spacing w:line="242" w:lineRule="auto"/>
        <w:ind w:left="166" w:right="157"/>
        <w:jc w:val="both"/>
      </w:pPr>
      <w:r>
        <w:rPr>
          <w:rFonts w:ascii="Arial" w:hAnsi="Arial"/>
          <w:b/>
        </w:rPr>
        <w:t xml:space="preserve">Annexes 3-8: </w:t>
      </w:r>
      <w:r>
        <w:t>factures relatives à la vente de produits portant la marque «Moncler» entre 2011 et 2023 au Luxembourg, en Belgique, en France, en Allemagne, en Grèce et en Espagne, en particulier pour des vêtements, ainsi que pour des chaussures, chapeaux ou sacs et autres objets</w:t>
      </w:r>
      <w:r>
        <w:rPr>
          <w:spacing w:val="40"/>
        </w:rPr>
        <w:t xml:space="preserve"> </w:t>
      </w:r>
      <w:r>
        <w:t>de transport.</w:t>
      </w:r>
    </w:p>
    <w:p w14:paraId="3C9FF0E6" w14:textId="77777777" w:rsidR="00E32F98" w:rsidRDefault="00000000">
      <w:pPr>
        <w:pStyle w:val="Corpsdetexte"/>
        <w:spacing w:before="239" w:line="242" w:lineRule="auto"/>
        <w:ind w:left="166" w:right="151"/>
        <w:jc w:val="both"/>
      </w:pPr>
      <w:r>
        <w:rPr>
          <w:rFonts w:ascii="Arial" w:hAnsi="Arial"/>
          <w:b/>
        </w:rPr>
        <w:t>Annexe 9</w:t>
      </w:r>
      <w:r>
        <w:t>: captures d’écran des comptes du réseau social de la marque de la demanderesse (Facebook et Instagram) de 2011 à</w:t>
      </w:r>
      <w:r>
        <w:rPr>
          <w:spacing w:val="-8"/>
        </w:rPr>
        <w:t xml:space="preserve"> </w:t>
      </w:r>
      <w:r>
        <w:t>2023,</w:t>
      </w:r>
      <w:r>
        <w:rPr>
          <w:spacing w:val="-5"/>
        </w:rPr>
        <w:t xml:space="preserve"> </w:t>
      </w:r>
      <w:r>
        <w:t>montrant</w:t>
      </w:r>
      <w:r>
        <w:rPr>
          <w:spacing w:val="-5"/>
        </w:rPr>
        <w:t xml:space="preserve"> </w:t>
      </w:r>
      <w:r>
        <w:t>la</w:t>
      </w:r>
      <w:r>
        <w:rPr>
          <w:spacing w:val="-8"/>
        </w:rPr>
        <w:t xml:space="preserve"> </w:t>
      </w:r>
      <w:r>
        <w:t>marque</w:t>
      </w:r>
      <w:r>
        <w:rPr>
          <w:spacing w:val="-8"/>
        </w:rPr>
        <w:t xml:space="preserve"> </w:t>
      </w:r>
      <w:r>
        <w:t>«Moncler»</w:t>
      </w:r>
      <w:r>
        <w:rPr>
          <w:spacing w:val="-7"/>
        </w:rPr>
        <w:t xml:space="preserve"> </w:t>
      </w:r>
      <w:r>
        <w:t>sur des vêtements, des chaussures, des lunettes de soleil, des sacs, des valises, des sacs à dos, des casques et des gants de ski, des parfums.</w:t>
      </w:r>
    </w:p>
    <w:p w14:paraId="5EE98523" w14:textId="77777777" w:rsidR="00E32F98" w:rsidRDefault="00E32F98">
      <w:pPr>
        <w:pStyle w:val="Corpsdetexte"/>
        <w:spacing w:before="1"/>
      </w:pPr>
    </w:p>
    <w:p w14:paraId="3FA58AE6" w14:textId="77777777" w:rsidR="00E32F98" w:rsidRDefault="00000000">
      <w:pPr>
        <w:pStyle w:val="Corpsdetexte"/>
        <w:spacing w:line="242" w:lineRule="auto"/>
        <w:ind w:left="166" w:right="163"/>
        <w:jc w:val="both"/>
      </w:pPr>
      <w:r>
        <w:rPr>
          <w:rFonts w:ascii="Arial" w:hAnsi="Arial"/>
          <w:b/>
        </w:rPr>
        <w:t>Annexe</w:t>
      </w:r>
      <w:r>
        <w:rPr>
          <w:rFonts w:ascii="Arial" w:hAnsi="Arial"/>
          <w:b/>
          <w:spacing w:val="30"/>
        </w:rPr>
        <w:t xml:space="preserve"> </w:t>
      </w:r>
      <w:r>
        <w:rPr>
          <w:rFonts w:ascii="Arial" w:hAnsi="Arial"/>
          <w:b/>
        </w:rPr>
        <w:t>10</w:t>
      </w:r>
      <w:r>
        <w:t>:</w:t>
      </w:r>
      <w:r>
        <w:rPr>
          <w:spacing w:val="19"/>
        </w:rPr>
        <w:t xml:space="preserve"> </w:t>
      </w:r>
      <w:r>
        <w:t>factures</w:t>
      </w:r>
      <w:r>
        <w:rPr>
          <w:spacing w:val="27"/>
        </w:rPr>
        <w:t xml:space="preserve"> </w:t>
      </w:r>
      <w:r>
        <w:t>de ventes de lunettes et de lunettes de soleil de 2016 à 2023 en Italie et dans d’autres pays de l’UE.</w:t>
      </w:r>
    </w:p>
    <w:p w14:paraId="4CCE64B5" w14:textId="77777777" w:rsidR="00E32F98" w:rsidRDefault="00000000">
      <w:pPr>
        <w:spacing w:before="240"/>
        <w:ind w:left="166" w:right="148"/>
        <w:jc w:val="both"/>
      </w:pPr>
      <w:r>
        <w:rPr>
          <w:rFonts w:ascii="Arial" w:hAnsi="Arial"/>
          <w:b/>
        </w:rPr>
        <w:t>Annexes 11-14:</w:t>
      </w:r>
      <w:r>
        <w:rPr>
          <w:rFonts w:ascii="Arial" w:hAnsi="Arial"/>
          <w:b/>
          <w:spacing w:val="-4"/>
        </w:rPr>
        <w:t xml:space="preserve"> </w:t>
      </w:r>
      <w:r>
        <w:t>des extraits de magazines italiens (en ligne et imprimés),</w:t>
      </w:r>
      <w:r>
        <w:rPr>
          <w:spacing w:val="-7"/>
        </w:rPr>
        <w:t xml:space="preserve"> </w:t>
      </w:r>
      <w:r>
        <w:t>datés entre</w:t>
      </w:r>
      <w:r>
        <w:rPr>
          <w:spacing w:val="-10"/>
        </w:rPr>
        <w:t xml:space="preserve"> </w:t>
      </w:r>
      <w:r>
        <w:t>2012 et 2023, concernant des vêtements (par exemple, L’Espresso</w:t>
      </w:r>
      <w:r>
        <w:rPr>
          <w:rFonts w:ascii="Arial" w:hAnsi="Arial"/>
          <w:i/>
        </w:rPr>
        <w:t>, Vanity Fair, Stylosophy, Grazia, Tu Style, Pourfemme, Marie Claire, Io Donna, Styleandfashion, Vogue),</w:t>
      </w:r>
      <w:r>
        <w:t>des sacs,</w:t>
      </w:r>
      <w:r>
        <w:rPr>
          <w:spacing w:val="40"/>
        </w:rPr>
        <w:t xml:space="preserve"> </w:t>
      </w:r>
      <w:r>
        <w:t xml:space="preserve">des sacs à dos, des valises et articles similaires (par exemple </w:t>
      </w:r>
      <w:r>
        <w:rPr>
          <w:rFonts w:ascii="Arial" w:hAnsi="Arial"/>
          <w:i/>
        </w:rPr>
        <w:t>Amica, Icon.panorama, Io Donna, Vanity Fair</w:t>
      </w:r>
      <w:r>
        <w:t xml:space="preserve">), accessoires tels que lunettes de soleil, casques, accessoires pour les cheveux (par exemple </w:t>
      </w:r>
      <w:r>
        <w:rPr>
          <w:rFonts w:ascii="Arial" w:hAnsi="Arial"/>
          <w:i/>
        </w:rPr>
        <w:t xml:space="preserve">Gioia, Io Donna, L’Espresso, Professionaloptometri), </w:t>
      </w:r>
      <w:r>
        <w:t xml:space="preserve">ainsi que pour les campagnes publiques et les défilés de mode (par exemple </w:t>
      </w:r>
      <w:r>
        <w:rPr>
          <w:rFonts w:ascii="Arial" w:hAnsi="Arial"/>
          <w:i/>
        </w:rPr>
        <w:t>Panorama économie, GQ Italia, Vogue, Crisalidepresse, MF Fashion Glamour</w:t>
      </w:r>
      <w:r>
        <w:t>).</w:t>
      </w:r>
    </w:p>
    <w:p w14:paraId="24FA54B7" w14:textId="77777777" w:rsidR="00E32F98" w:rsidRDefault="00E32F98">
      <w:pPr>
        <w:pStyle w:val="Corpsdetexte"/>
        <w:spacing w:before="5"/>
      </w:pPr>
    </w:p>
    <w:p w14:paraId="3290A59B" w14:textId="77777777" w:rsidR="00E32F98" w:rsidRDefault="00000000">
      <w:pPr>
        <w:pStyle w:val="Corpsdetexte"/>
        <w:spacing w:line="242" w:lineRule="auto"/>
        <w:ind w:left="166" w:right="161"/>
        <w:jc w:val="both"/>
      </w:pPr>
      <w:r>
        <w:rPr>
          <w:rFonts w:ascii="Arial" w:hAnsi="Arial"/>
          <w:b/>
        </w:rPr>
        <w:t xml:space="preserve">Annexe 15: </w:t>
      </w:r>
      <w:r>
        <w:t>extraits de magazines autrichiens (en ligne et magazines imprimés) de 2011, 2012, de 2021 à 2023, concernant des vêtements (par exemple, Diva, Wear Global Magazine, Flair).</w:t>
      </w:r>
    </w:p>
    <w:p w14:paraId="722DFCD4" w14:textId="77777777" w:rsidR="00E32F98" w:rsidRDefault="00E32F98">
      <w:pPr>
        <w:pStyle w:val="Corpsdetexte"/>
        <w:spacing w:before="3"/>
      </w:pPr>
    </w:p>
    <w:p w14:paraId="694942D4" w14:textId="77777777" w:rsidR="00E32F98" w:rsidRDefault="00000000">
      <w:pPr>
        <w:spacing w:line="237" w:lineRule="auto"/>
        <w:ind w:left="166" w:right="145"/>
        <w:jc w:val="both"/>
      </w:pPr>
      <w:r>
        <w:rPr>
          <w:rFonts w:ascii="Arial" w:hAnsi="Arial"/>
          <w:b/>
        </w:rPr>
        <w:t>Annexes 16 à 18:</w:t>
      </w:r>
      <w:r>
        <w:rPr>
          <w:rFonts w:ascii="Arial" w:hAnsi="Arial"/>
          <w:b/>
          <w:spacing w:val="-1"/>
        </w:rPr>
        <w:t xml:space="preserve"> </w:t>
      </w:r>
      <w:r>
        <w:t>extraits de magazines belges (en</w:t>
      </w:r>
      <w:r>
        <w:rPr>
          <w:spacing w:val="-10"/>
        </w:rPr>
        <w:t xml:space="preserve"> </w:t>
      </w:r>
      <w:r>
        <w:t>ligne</w:t>
      </w:r>
      <w:r>
        <w:rPr>
          <w:spacing w:val="-10"/>
        </w:rPr>
        <w:t xml:space="preserve"> </w:t>
      </w:r>
      <w:r>
        <w:t>et</w:t>
      </w:r>
      <w:r>
        <w:rPr>
          <w:spacing w:val="-7"/>
        </w:rPr>
        <w:t xml:space="preserve"> </w:t>
      </w:r>
      <w:r>
        <w:t>imprimés)</w:t>
      </w:r>
      <w:r>
        <w:rPr>
          <w:spacing w:val="-5"/>
        </w:rPr>
        <w:t xml:space="preserve"> </w:t>
      </w:r>
      <w:r>
        <w:t>de</w:t>
      </w:r>
      <w:r>
        <w:rPr>
          <w:spacing w:val="-10"/>
        </w:rPr>
        <w:t xml:space="preserve"> </w:t>
      </w:r>
      <w:r>
        <w:t>2016,</w:t>
      </w:r>
      <w:r>
        <w:rPr>
          <w:spacing w:val="-7"/>
        </w:rPr>
        <w:t xml:space="preserve"> </w:t>
      </w:r>
      <w:r>
        <w:t>2018,</w:t>
      </w:r>
      <w:r>
        <w:rPr>
          <w:spacing w:val="-7"/>
        </w:rPr>
        <w:t xml:space="preserve"> </w:t>
      </w:r>
      <w:r>
        <w:t xml:space="preserve">2019, 2020 et 2023 concernant des vêtements, des sacs, des sacs à dos, des valises </w:t>
      </w:r>
      <w:r>
        <w:rPr>
          <w:rFonts w:ascii="Arial" w:hAnsi="Arial"/>
          <w:i/>
        </w:rPr>
        <w:t>(par exemple, Fashionunited, Colorama, Elle, Le vif weekend, SO Soir</w:t>
      </w:r>
      <w:r>
        <w:t>), ainsi que des défilés</w:t>
      </w:r>
      <w:r>
        <w:rPr>
          <w:rFonts w:ascii="Arial" w:hAnsi="Arial"/>
          <w:i/>
        </w:rPr>
        <w:t>(La Libre, DH, Fashionunited</w:t>
      </w:r>
      <w:r>
        <w:t>).</w:t>
      </w:r>
    </w:p>
    <w:p w14:paraId="3A95BBEC" w14:textId="77777777" w:rsidR="00E32F98" w:rsidRDefault="00E32F98">
      <w:pPr>
        <w:pStyle w:val="Corpsdetexte"/>
        <w:spacing w:before="7"/>
      </w:pPr>
    </w:p>
    <w:p w14:paraId="1D571EB5" w14:textId="77777777" w:rsidR="00E32F98" w:rsidRDefault="00000000">
      <w:pPr>
        <w:spacing w:line="237" w:lineRule="auto"/>
        <w:ind w:left="166" w:right="156"/>
        <w:jc w:val="both"/>
      </w:pPr>
      <w:r>
        <w:rPr>
          <w:rFonts w:ascii="Arial" w:hAnsi="Arial"/>
          <w:b/>
        </w:rPr>
        <w:t xml:space="preserve">Annexes 19 à 21: </w:t>
      </w:r>
      <w:r>
        <w:t>extraits de magazines danois (en</w:t>
      </w:r>
      <w:r>
        <w:rPr>
          <w:spacing w:val="-9"/>
        </w:rPr>
        <w:t xml:space="preserve"> </w:t>
      </w:r>
      <w:r>
        <w:t>ligne</w:t>
      </w:r>
      <w:r>
        <w:rPr>
          <w:spacing w:val="-9"/>
        </w:rPr>
        <w:t xml:space="preserve"> </w:t>
      </w:r>
      <w:r>
        <w:t>et</w:t>
      </w:r>
      <w:r>
        <w:rPr>
          <w:spacing w:val="-6"/>
        </w:rPr>
        <w:t xml:space="preserve"> </w:t>
      </w:r>
      <w:r>
        <w:t>magazines imprimés)</w:t>
      </w:r>
      <w:r>
        <w:rPr>
          <w:spacing w:val="-4"/>
        </w:rPr>
        <w:t xml:space="preserve"> </w:t>
      </w:r>
      <w:r>
        <w:t>datant</w:t>
      </w:r>
      <w:r>
        <w:rPr>
          <w:spacing w:val="-6"/>
        </w:rPr>
        <w:t xml:space="preserve"> </w:t>
      </w:r>
      <w:r>
        <w:t>de 2023 concernant des vêtements (</w:t>
      </w:r>
      <w:r>
        <w:rPr>
          <w:rFonts w:ascii="Arial" w:hAnsi="Arial"/>
          <w:i/>
        </w:rPr>
        <w:t>Alt for Damerne, Eurowoman, Euroman, Femina, Elle, IN, Costume),</w:t>
      </w:r>
      <w:r>
        <w:t>des</w:t>
      </w:r>
      <w:r>
        <w:rPr>
          <w:spacing w:val="-5"/>
        </w:rPr>
        <w:t xml:space="preserve"> </w:t>
      </w:r>
      <w:r>
        <w:t>accessoires</w:t>
      </w:r>
      <w:r>
        <w:rPr>
          <w:spacing w:val="-5"/>
        </w:rPr>
        <w:t xml:space="preserve"> </w:t>
      </w:r>
      <w:r>
        <w:t>(lunettes</w:t>
      </w:r>
      <w:r>
        <w:rPr>
          <w:spacing w:val="-5"/>
        </w:rPr>
        <w:t xml:space="preserve"> </w:t>
      </w:r>
      <w:r>
        <w:t>de</w:t>
      </w:r>
      <w:r>
        <w:rPr>
          <w:spacing w:val="-3"/>
        </w:rPr>
        <w:t xml:space="preserve"> </w:t>
      </w:r>
      <w:r>
        <w:t>soleil, laisses</w:t>
      </w:r>
      <w:r>
        <w:rPr>
          <w:spacing w:val="-5"/>
        </w:rPr>
        <w:t xml:space="preserve"> </w:t>
      </w:r>
      <w:r>
        <w:t>pour animaux</w:t>
      </w:r>
      <w:r>
        <w:rPr>
          <w:spacing w:val="-5"/>
        </w:rPr>
        <w:t xml:space="preserve"> </w:t>
      </w:r>
      <w:r>
        <w:t>domestiques, vêtements pour animaux domestiques)</w:t>
      </w:r>
      <w:r>
        <w:rPr>
          <w:spacing w:val="-6"/>
        </w:rPr>
        <w:t xml:space="preserve"> </w:t>
      </w:r>
      <w:r>
        <w:t>et des défilés</w:t>
      </w:r>
      <w:r>
        <w:rPr>
          <w:spacing w:val="40"/>
        </w:rPr>
        <w:t xml:space="preserve"> </w:t>
      </w:r>
      <w:r>
        <w:t>de mode</w:t>
      </w:r>
      <w:r>
        <w:rPr>
          <w:rFonts w:ascii="Arial" w:hAnsi="Arial"/>
          <w:i/>
        </w:rPr>
        <w:t>(Elle, Kopenhagenfur.com</w:t>
      </w:r>
      <w:r>
        <w:t>).</w:t>
      </w:r>
    </w:p>
    <w:p w14:paraId="3241D4A8" w14:textId="77777777" w:rsidR="00E32F98" w:rsidRDefault="00E32F98">
      <w:pPr>
        <w:pStyle w:val="Corpsdetexte"/>
        <w:spacing w:before="4"/>
      </w:pPr>
    </w:p>
    <w:p w14:paraId="2287EEC6" w14:textId="77777777" w:rsidR="00E32F98" w:rsidRDefault="00000000">
      <w:pPr>
        <w:spacing w:line="242" w:lineRule="auto"/>
        <w:ind w:left="166" w:right="149"/>
        <w:jc w:val="both"/>
      </w:pPr>
      <w:r>
        <w:rPr>
          <w:rFonts w:ascii="Arial" w:hAnsi="Arial"/>
          <w:b/>
        </w:rPr>
        <w:t>Annexes 22-25</w:t>
      </w:r>
      <w:r>
        <w:t xml:space="preserve">: extraits de magazines français (magazines en ligne et imprimés tels que </w:t>
      </w:r>
      <w:r>
        <w:rPr>
          <w:rFonts w:ascii="Arial" w:hAnsi="Arial"/>
          <w:i/>
        </w:rPr>
        <w:t>GQ, Elle, L’Oréal, Vogue, Grazia, Fashionmag.com, eniwherefashion.blogspot.fr, edouardt.Luxsure, Paperblog, Glamourparis, Citizen K International, Les Echos, Vogue, Le Monde, L’express, Glamour, Le Figaro</w:t>
      </w:r>
      <w:r>
        <w:t>) de 2011 à 2023 en rapport avec des</w:t>
      </w:r>
      <w:r>
        <w:rPr>
          <w:spacing w:val="40"/>
        </w:rPr>
        <w:t xml:space="preserve"> </w:t>
      </w:r>
      <w:r>
        <w:t>vêtements,</w:t>
      </w:r>
      <w:r>
        <w:rPr>
          <w:rFonts w:ascii="Arial" w:hAnsi="Arial"/>
          <w:i/>
        </w:rPr>
        <w:t>sacs</w:t>
      </w:r>
      <w:r>
        <w:t>,</w:t>
      </w:r>
      <w:r>
        <w:rPr>
          <w:spacing w:val="-18"/>
        </w:rPr>
        <w:t xml:space="preserve"> </w:t>
      </w:r>
      <w:r>
        <w:t>sacs.</w:t>
      </w:r>
    </w:p>
    <w:p w14:paraId="53DFEF2E" w14:textId="77777777" w:rsidR="00E32F98" w:rsidRDefault="00000000">
      <w:pPr>
        <w:spacing w:before="239" w:line="242" w:lineRule="auto"/>
        <w:ind w:left="166" w:right="149"/>
        <w:jc w:val="both"/>
      </w:pPr>
      <w:r>
        <w:rPr>
          <w:rFonts w:ascii="Arial" w:hAnsi="Arial"/>
          <w:b/>
        </w:rPr>
        <w:t>Annexes 26-29</w:t>
      </w:r>
      <w:r>
        <w:t>: extraits de magazines allemands (en ligne et</w:t>
      </w:r>
      <w:r>
        <w:rPr>
          <w:spacing w:val="-3"/>
        </w:rPr>
        <w:t xml:space="preserve"> </w:t>
      </w:r>
      <w:r>
        <w:t xml:space="preserve">magazines imprimés comme </w:t>
      </w:r>
      <w:r>
        <w:rPr>
          <w:rFonts w:ascii="Arial" w:hAnsi="Arial"/>
          <w:i/>
        </w:rPr>
        <w:t>Icon, Die Welt, Vogue, Petra, Madame, Donna, Elle, In Style, Modepilot, Harper’s Bazaar, Closer, Manager Magazin, Branzilla Operations,</w:t>
      </w:r>
      <w:r>
        <w:rPr>
          <w:rFonts w:ascii="Arial" w:hAnsi="Arial"/>
          <w:i/>
          <w:spacing w:val="-4"/>
        </w:rPr>
        <w:t xml:space="preserve"> </w:t>
      </w:r>
      <w:r>
        <w:rPr>
          <w:rFonts w:ascii="Arial" w:hAnsi="Arial"/>
          <w:i/>
        </w:rPr>
        <w:t>Madame,</w:t>
      </w:r>
      <w:r>
        <w:rPr>
          <w:rFonts w:ascii="Arial" w:hAnsi="Arial"/>
          <w:i/>
          <w:spacing w:val="-4"/>
        </w:rPr>
        <w:t xml:space="preserve"> </w:t>
      </w:r>
      <w:r>
        <w:rPr>
          <w:rFonts w:ascii="Arial" w:hAnsi="Arial"/>
          <w:i/>
        </w:rPr>
        <w:t>Heat,</w:t>
      </w:r>
      <w:r>
        <w:rPr>
          <w:rFonts w:ascii="Arial" w:hAnsi="Arial"/>
          <w:i/>
          <w:spacing w:val="-4"/>
        </w:rPr>
        <w:t xml:space="preserve"> </w:t>
      </w:r>
      <w:r>
        <w:rPr>
          <w:rFonts w:ascii="Arial" w:hAnsi="Arial"/>
          <w:i/>
        </w:rPr>
        <w:t>Faces,</w:t>
      </w:r>
      <w:r>
        <w:rPr>
          <w:rFonts w:ascii="Arial" w:hAnsi="Arial"/>
          <w:i/>
          <w:spacing w:val="-4"/>
        </w:rPr>
        <w:t xml:space="preserve"> </w:t>
      </w:r>
      <w:r>
        <w:rPr>
          <w:rFonts w:ascii="Arial" w:hAnsi="Arial"/>
          <w:i/>
        </w:rPr>
        <w:t>Frankfurtallgemeine Zeitung, Bild) de</w:t>
      </w:r>
      <w:r>
        <w:rPr>
          <w:rFonts w:ascii="Arial" w:hAnsi="Arial"/>
          <w:i/>
          <w:spacing w:val="-3"/>
        </w:rPr>
        <w:t xml:space="preserve"> </w:t>
      </w:r>
      <w:r>
        <w:t>2011 à</w:t>
      </w:r>
      <w:r>
        <w:rPr>
          <w:spacing w:val="-6"/>
        </w:rPr>
        <w:t xml:space="preserve"> </w:t>
      </w:r>
      <w:r>
        <w:t>2023 en</w:t>
      </w:r>
      <w:r>
        <w:rPr>
          <w:spacing w:val="-6"/>
        </w:rPr>
        <w:t xml:space="preserve"> </w:t>
      </w:r>
      <w:r>
        <w:t>rapport avec des</w:t>
      </w:r>
      <w:r>
        <w:rPr>
          <w:spacing w:val="-2"/>
        </w:rPr>
        <w:t xml:space="preserve"> </w:t>
      </w:r>
      <w:r>
        <w:t>vêtements,</w:t>
      </w:r>
      <w:r>
        <w:rPr>
          <w:spacing w:val="-3"/>
        </w:rPr>
        <w:t xml:space="preserve"> </w:t>
      </w:r>
      <w:r>
        <w:t>sacs,</w:t>
      </w:r>
      <w:r>
        <w:rPr>
          <w:spacing w:val="-16"/>
        </w:rPr>
        <w:t xml:space="preserve"> </w:t>
      </w:r>
      <w:r>
        <w:t>sacs</w:t>
      </w:r>
      <w:r>
        <w:rPr>
          <w:spacing w:val="-7"/>
        </w:rPr>
        <w:t xml:space="preserve"> </w:t>
      </w:r>
      <w:r>
        <w:t>à</w:t>
      </w:r>
      <w:r>
        <w:rPr>
          <w:spacing w:val="-16"/>
        </w:rPr>
        <w:t xml:space="preserve"> </w:t>
      </w:r>
      <w:r>
        <w:t>dos,</w:t>
      </w:r>
      <w:r>
        <w:rPr>
          <w:spacing w:val="-2"/>
        </w:rPr>
        <w:t xml:space="preserve"> </w:t>
      </w:r>
      <w:r>
        <w:t>accessoires (caméras, lunettes de soleil).</w:t>
      </w:r>
    </w:p>
    <w:p w14:paraId="50E79BF7" w14:textId="77777777" w:rsidR="00E32F98" w:rsidRDefault="00E32F98">
      <w:pPr>
        <w:spacing w:line="242" w:lineRule="auto"/>
        <w:jc w:val="both"/>
        <w:sectPr w:rsidR="00E32F98">
          <w:headerReference w:type="default" r:id="rId60"/>
          <w:pgSz w:w="11910" w:h="16850"/>
          <w:pgMar w:top="1000" w:right="1275" w:bottom="280" w:left="1275" w:header="727" w:footer="0" w:gutter="0"/>
          <w:pgNumType w:start="10"/>
          <w:cols w:space="720"/>
        </w:sectPr>
      </w:pPr>
    </w:p>
    <w:p w14:paraId="60572DEB" w14:textId="77777777" w:rsidR="00E32F98" w:rsidRDefault="00000000">
      <w:pPr>
        <w:pStyle w:val="Corpsdetexte"/>
        <w:spacing w:before="188"/>
      </w:pPr>
      <w:r>
        <w:rPr>
          <w:noProof/>
        </w:rPr>
        <w:lastRenderedPageBreak/>
        <mc:AlternateContent>
          <mc:Choice Requires="wps">
            <w:drawing>
              <wp:anchor distT="0" distB="0" distL="0" distR="0" simplePos="0" relativeHeight="15740416" behindDoc="0" locked="0" layoutInCell="1" allowOverlap="1" wp14:anchorId="25527835" wp14:editId="67DA58C0">
                <wp:simplePos x="0" y="0"/>
                <wp:positionH relativeFrom="page">
                  <wp:posOffset>270575</wp:posOffset>
                </wp:positionH>
                <wp:positionV relativeFrom="page">
                  <wp:posOffset>1118555</wp:posOffset>
                </wp:positionV>
                <wp:extent cx="146050" cy="921004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03F12493"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40416" type="#_x0000_t202" id="docshape59"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0B896C63" w14:textId="77777777" w:rsidR="00E32F98" w:rsidRDefault="00000000">
      <w:pPr>
        <w:spacing w:line="237" w:lineRule="auto"/>
        <w:ind w:left="166" w:right="149"/>
        <w:jc w:val="both"/>
      </w:pPr>
      <w:r>
        <w:rPr>
          <w:rFonts w:ascii="Arial" w:hAnsi="Arial"/>
          <w:b/>
        </w:rPr>
        <w:t xml:space="preserve">Annexes 30-33: </w:t>
      </w:r>
      <w:r>
        <w:t xml:space="preserve">extraits de magazines néerlandais (en ligne et imprimés tels que </w:t>
      </w:r>
      <w:r>
        <w:rPr>
          <w:rFonts w:ascii="Arial" w:hAnsi="Arial"/>
          <w:i/>
        </w:rPr>
        <w:t>Elsevier, Elle, Esquire, L’Officiel, Harper’s Bazaar, Grazia, Glamour,</w:t>
      </w:r>
      <w:r>
        <w:rPr>
          <w:rFonts w:ascii="Arial" w:hAnsi="Arial"/>
          <w:i/>
          <w:spacing w:val="-4"/>
        </w:rPr>
        <w:t xml:space="preserve"> </w:t>
      </w:r>
      <w:r>
        <w:rPr>
          <w:rFonts w:ascii="Arial" w:hAnsi="Arial"/>
          <w:i/>
        </w:rPr>
        <w:t>FD Persoonlijk,</w:t>
      </w:r>
      <w:r>
        <w:rPr>
          <w:rFonts w:ascii="Arial" w:hAnsi="Arial"/>
          <w:i/>
          <w:spacing w:val="-4"/>
        </w:rPr>
        <w:t xml:space="preserve"> </w:t>
      </w:r>
      <w:r>
        <w:rPr>
          <w:rFonts w:ascii="Arial" w:hAnsi="Arial"/>
          <w:i/>
        </w:rPr>
        <w:t>FMAG,</w:t>
      </w:r>
      <w:r>
        <w:rPr>
          <w:rFonts w:ascii="Arial" w:hAnsi="Arial"/>
          <w:i/>
          <w:spacing w:val="-4"/>
        </w:rPr>
        <w:t xml:space="preserve"> </w:t>
      </w:r>
      <w:r>
        <w:rPr>
          <w:rFonts w:ascii="Arial" w:hAnsi="Arial"/>
          <w:i/>
        </w:rPr>
        <w:t>NRC)</w:t>
      </w:r>
      <w:r>
        <w:rPr>
          <w:rFonts w:ascii="Arial" w:hAnsi="Arial"/>
          <w:i/>
          <w:spacing w:val="-2"/>
        </w:rPr>
        <w:t xml:space="preserve"> </w:t>
      </w:r>
      <w:r>
        <w:rPr>
          <w:rFonts w:ascii="Arial" w:hAnsi="Arial"/>
          <w:i/>
        </w:rPr>
        <w:t>de 2012,</w:t>
      </w:r>
      <w:r>
        <w:t>2014, 2015, 2016, 2017, 2018, 2019</w:t>
      </w:r>
      <w:r>
        <w:rPr>
          <w:spacing w:val="-10"/>
        </w:rPr>
        <w:t xml:space="preserve"> </w:t>
      </w:r>
      <w:r>
        <w:t>et</w:t>
      </w:r>
      <w:r>
        <w:rPr>
          <w:spacing w:val="-7"/>
        </w:rPr>
        <w:t xml:space="preserve"> </w:t>
      </w:r>
      <w:r>
        <w:t>2021</w:t>
      </w:r>
      <w:r>
        <w:rPr>
          <w:spacing w:val="-10"/>
        </w:rPr>
        <w:t xml:space="preserve"> </w:t>
      </w:r>
      <w:r>
        <w:t>concernant</w:t>
      </w:r>
      <w:r>
        <w:rPr>
          <w:spacing w:val="-7"/>
        </w:rPr>
        <w:t xml:space="preserve"> </w:t>
      </w:r>
      <w:r>
        <w:t>des vêtements,</w:t>
      </w:r>
      <w:r>
        <w:rPr>
          <w:spacing w:val="-7"/>
        </w:rPr>
        <w:t xml:space="preserve"> </w:t>
      </w:r>
      <w:r>
        <w:t>des sacs,</w:t>
      </w:r>
      <w:r>
        <w:rPr>
          <w:spacing w:val="-7"/>
        </w:rPr>
        <w:t xml:space="preserve"> </w:t>
      </w:r>
      <w:r>
        <w:t>des sacs à</w:t>
      </w:r>
      <w:r>
        <w:rPr>
          <w:spacing w:val="-14"/>
        </w:rPr>
        <w:t xml:space="preserve"> </w:t>
      </w:r>
      <w:r>
        <w:t>dos, des accessoires (lunettes de soleil) et des défilés de mode.</w:t>
      </w:r>
    </w:p>
    <w:p w14:paraId="320FC78A" w14:textId="77777777" w:rsidR="00E32F98" w:rsidRDefault="00E32F98">
      <w:pPr>
        <w:pStyle w:val="Corpsdetexte"/>
        <w:spacing w:before="4"/>
      </w:pPr>
    </w:p>
    <w:p w14:paraId="2266CE1B" w14:textId="77777777" w:rsidR="00E32F98" w:rsidRDefault="00000000">
      <w:pPr>
        <w:spacing w:line="242" w:lineRule="auto"/>
        <w:ind w:left="166" w:right="148"/>
        <w:jc w:val="both"/>
      </w:pPr>
      <w:r>
        <w:rPr>
          <w:rFonts w:ascii="Arial" w:hAnsi="Arial"/>
          <w:b/>
        </w:rPr>
        <w:t xml:space="preserve">Annexes 34-37: </w:t>
      </w:r>
      <w:r>
        <w:t xml:space="preserve">extraits de magazines espagnols (en ligne et imprimés tels que </w:t>
      </w:r>
      <w:r>
        <w:rPr>
          <w:rFonts w:ascii="Arial" w:hAnsi="Arial"/>
          <w:i/>
        </w:rPr>
        <w:t>Vogue, Vanity Fair, Esquire, Vanitatis, GQ, Expansion, Marie Claire,Harper’s Bazaar, IN</w:t>
      </w:r>
      <w:r>
        <w:rPr>
          <w:rFonts w:ascii="Arial" w:hAnsi="Arial"/>
          <w:i/>
          <w:spacing w:val="-1"/>
        </w:rPr>
        <w:t xml:space="preserve"> </w:t>
      </w:r>
      <w:r>
        <w:rPr>
          <w:rFonts w:ascii="Arial" w:hAnsi="Arial"/>
          <w:i/>
        </w:rPr>
        <w:t>Style,</w:t>
      </w:r>
      <w:r>
        <w:rPr>
          <w:rFonts w:ascii="Arial" w:hAnsi="Arial"/>
          <w:i/>
          <w:spacing w:val="-6"/>
        </w:rPr>
        <w:t xml:space="preserve"> </w:t>
      </w:r>
      <w:r>
        <w:rPr>
          <w:rFonts w:ascii="Arial" w:hAnsi="Arial"/>
          <w:i/>
        </w:rPr>
        <w:t>Elle, Alberto Ortiz Rey, El Mundo) de 2015,</w:t>
      </w:r>
      <w:r>
        <w:t>2016 et 2022 concernant des vêtements, des sacs, des sacs</w:t>
      </w:r>
      <w:r>
        <w:rPr>
          <w:spacing w:val="-2"/>
        </w:rPr>
        <w:t xml:space="preserve"> </w:t>
      </w:r>
      <w:r>
        <w:t>à</w:t>
      </w:r>
      <w:r>
        <w:rPr>
          <w:spacing w:val="-16"/>
        </w:rPr>
        <w:t xml:space="preserve"> </w:t>
      </w:r>
      <w:r>
        <w:t>dos, des accessoires</w:t>
      </w:r>
      <w:r>
        <w:rPr>
          <w:spacing w:val="-2"/>
        </w:rPr>
        <w:t xml:space="preserve"> </w:t>
      </w:r>
      <w:r>
        <w:t>(lunettes</w:t>
      </w:r>
      <w:r>
        <w:rPr>
          <w:spacing w:val="-2"/>
        </w:rPr>
        <w:t xml:space="preserve"> </w:t>
      </w:r>
      <w:r>
        <w:t>de soleil, accessoires</w:t>
      </w:r>
      <w:r>
        <w:rPr>
          <w:spacing w:val="-2"/>
        </w:rPr>
        <w:t xml:space="preserve"> </w:t>
      </w:r>
      <w:r>
        <w:t>pour</w:t>
      </w:r>
      <w:r>
        <w:rPr>
          <w:spacing w:val="-11"/>
        </w:rPr>
        <w:t xml:space="preserve"> </w:t>
      </w:r>
      <w:r>
        <w:t>cheveux, porte-bébés) et des défilés de mode.</w:t>
      </w:r>
    </w:p>
    <w:p w14:paraId="5CFD9489" w14:textId="77777777" w:rsidR="00E32F98" w:rsidRDefault="00000000">
      <w:pPr>
        <w:pStyle w:val="Corpsdetexte"/>
        <w:spacing w:before="239" w:line="242" w:lineRule="auto"/>
        <w:ind w:left="166" w:right="151"/>
        <w:jc w:val="both"/>
      </w:pPr>
      <w:r>
        <w:rPr>
          <w:rFonts w:ascii="Arial" w:hAnsi="Arial"/>
          <w:b/>
        </w:rPr>
        <w:t xml:space="preserve">Annexes 38-41: </w:t>
      </w:r>
      <w:r>
        <w:t>extraits de magazines britanniques (en ligne et magazines imprimés tels que The Daily Telegraph, Financial Times, The Telegraph, GQ, Telegraph Luxury) de 2012, 2014 et 2015 concernant des vêtements, des valises,</w:t>
      </w:r>
      <w:r>
        <w:rPr>
          <w:spacing w:val="-7"/>
        </w:rPr>
        <w:t xml:space="preserve"> </w:t>
      </w:r>
      <w:r>
        <w:t>des lunettes de</w:t>
      </w:r>
      <w:r>
        <w:rPr>
          <w:spacing w:val="-10"/>
        </w:rPr>
        <w:t xml:space="preserve"> </w:t>
      </w:r>
      <w:r>
        <w:t>soleil</w:t>
      </w:r>
      <w:r>
        <w:rPr>
          <w:spacing w:val="-10"/>
        </w:rPr>
        <w:t xml:space="preserve"> </w:t>
      </w:r>
      <w:r>
        <w:t>et</w:t>
      </w:r>
      <w:r>
        <w:rPr>
          <w:spacing w:val="-7"/>
        </w:rPr>
        <w:t xml:space="preserve"> </w:t>
      </w:r>
      <w:r>
        <w:t xml:space="preserve">des défilés de </w:t>
      </w:r>
      <w:r>
        <w:rPr>
          <w:spacing w:val="-2"/>
        </w:rPr>
        <w:t>mode.</w:t>
      </w:r>
    </w:p>
    <w:p w14:paraId="0738247D" w14:textId="77777777" w:rsidR="00E32F98" w:rsidRDefault="00E32F98">
      <w:pPr>
        <w:pStyle w:val="Corpsdetexte"/>
        <w:spacing w:before="1"/>
      </w:pPr>
    </w:p>
    <w:p w14:paraId="0FDC8549" w14:textId="77777777" w:rsidR="00E32F98" w:rsidRDefault="00000000">
      <w:pPr>
        <w:ind w:left="166"/>
        <w:jc w:val="both"/>
      </w:pPr>
      <w:r>
        <w:rPr>
          <w:rFonts w:ascii="Arial" w:hAnsi="Arial"/>
          <w:b/>
        </w:rPr>
        <w:t>Annexes</w:t>
      </w:r>
      <w:r>
        <w:rPr>
          <w:rFonts w:ascii="Arial" w:hAnsi="Arial"/>
          <w:b/>
          <w:spacing w:val="23"/>
        </w:rPr>
        <w:t xml:space="preserve"> </w:t>
      </w:r>
      <w:r>
        <w:rPr>
          <w:rFonts w:ascii="Arial" w:hAnsi="Arial"/>
          <w:b/>
        </w:rPr>
        <w:t>42</w:t>
      </w:r>
      <w:r>
        <w:rPr>
          <w:rFonts w:ascii="Arial" w:hAnsi="Arial"/>
          <w:b/>
          <w:spacing w:val="23"/>
        </w:rPr>
        <w:t xml:space="preserve"> </w:t>
      </w:r>
      <w:r>
        <w:rPr>
          <w:rFonts w:ascii="Arial" w:hAnsi="Arial"/>
          <w:b/>
        </w:rPr>
        <w:t>et</w:t>
      </w:r>
      <w:r>
        <w:rPr>
          <w:rFonts w:ascii="Arial" w:hAnsi="Arial"/>
          <w:b/>
          <w:spacing w:val="28"/>
        </w:rPr>
        <w:t xml:space="preserve"> </w:t>
      </w:r>
      <w:r>
        <w:rPr>
          <w:rFonts w:ascii="Arial" w:hAnsi="Arial"/>
          <w:b/>
        </w:rPr>
        <w:t>43:</w:t>
      </w:r>
      <w:r>
        <w:rPr>
          <w:rFonts w:ascii="Arial" w:hAnsi="Arial"/>
          <w:b/>
          <w:spacing w:val="18"/>
        </w:rPr>
        <w:t xml:space="preserve"> </w:t>
      </w:r>
      <w:r>
        <w:t>déclarations</w:t>
      </w:r>
      <w:r>
        <w:rPr>
          <w:spacing w:val="35"/>
        </w:rPr>
        <w:t xml:space="preserve"> </w:t>
      </w:r>
      <w:r>
        <w:t>sous</w:t>
      </w:r>
      <w:r>
        <w:rPr>
          <w:spacing w:val="35"/>
        </w:rPr>
        <w:t xml:space="preserve"> </w:t>
      </w:r>
      <w:r>
        <w:t>serment</w:t>
      </w:r>
      <w:r>
        <w:rPr>
          <w:spacing w:val="26"/>
        </w:rPr>
        <w:t xml:space="preserve"> </w:t>
      </w:r>
      <w:r>
        <w:t>émises</w:t>
      </w:r>
      <w:r>
        <w:rPr>
          <w:spacing w:val="35"/>
        </w:rPr>
        <w:t xml:space="preserve"> </w:t>
      </w:r>
      <w:r>
        <w:t>par</w:t>
      </w:r>
      <w:r>
        <w:rPr>
          <w:spacing w:val="13"/>
        </w:rPr>
        <w:t xml:space="preserve"> </w:t>
      </w:r>
      <w:r>
        <w:t>le</w:t>
      </w:r>
      <w:r>
        <w:rPr>
          <w:spacing w:val="8"/>
        </w:rPr>
        <w:t xml:space="preserve"> </w:t>
      </w:r>
      <w:r>
        <w:t>responsable</w:t>
      </w:r>
      <w:r>
        <w:rPr>
          <w:spacing w:val="8"/>
        </w:rPr>
        <w:t xml:space="preserve"> </w:t>
      </w:r>
      <w:r>
        <w:t>du</w:t>
      </w:r>
      <w:r>
        <w:rPr>
          <w:spacing w:val="8"/>
        </w:rPr>
        <w:t xml:space="preserve"> </w:t>
      </w:r>
      <w:r>
        <w:rPr>
          <w:spacing w:val="-2"/>
        </w:rPr>
        <w:t>département</w:t>
      </w:r>
    </w:p>
    <w:p w14:paraId="19F20C00" w14:textId="77777777" w:rsidR="00E32F98" w:rsidRDefault="00000000">
      <w:pPr>
        <w:pStyle w:val="Corpsdetexte"/>
        <w:spacing w:before="5" w:line="237" w:lineRule="auto"/>
        <w:ind w:left="166" w:right="159"/>
        <w:jc w:val="both"/>
      </w:pPr>
      <w:r>
        <w:t>«Affaires juridiques et affaires sociales» de la société de la demanderesse, datées du 24/11/2023, accompagnées d’un plan média comprenant des informations relatives à l’UE</w:t>
      </w:r>
      <w:r>
        <w:rPr>
          <w:spacing w:val="40"/>
        </w:rPr>
        <w:t xml:space="preserve"> </w:t>
      </w:r>
      <w:r>
        <w:t>de 2009 à 2023, ainsi que des données/revenus des ventes de 2010 à 2022, ventilés par pays dans les sections de la vente au détail et en gros.</w:t>
      </w:r>
    </w:p>
    <w:p w14:paraId="75C3249A" w14:textId="77777777" w:rsidR="00E32F98" w:rsidRDefault="00E32F98">
      <w:pPr>
        <w:pStyle w:val="Corpsdetexte"/>
        <w:spacing w:before="4"/>
      </w:pPr>
    </w:p>
    <w:p w14:paraId="5A602885" w14:textId="77777777" w:rsidR="00E32F98" w:rsidRDefault="00000000">
      <w:pPr>
        <w:pStyle w:val="Corpsdetexte"/>
        <w:spacing w:line="242" w:lineRule="auto"/>
        <w:ind w:left="166" w:right="156"/>
        <w:jc w:val="both"/>
      </w:pPr>
      <w:r>
        <w:rPr>
          <w:rFonts w:ascii="Arial" w:hAnsi="Arial"/>
          <w:b/>
        </w:rPr>
        <w:t xml:space="preserve">Annexe 44: </w:t>
      </w:r>
      <w:r>
        <w:t>une déclaration faite par Moncler S.p.A. par laquelle Moncler S.p.A. déclare</w:t>
      </w:r>
      <w:r>
        <w:rPr>
          <w:spacing w:val="-1"/>
        </w:rPr>
        <w:t xml:space="preserve"> </w:t>
      </w:r>
      <w:r>
        <w:t>la relation contractuelle entre Moncler S.p.A. et Marcolin S.p.A. concernant la fabrication et la distribution de produits de lunetterie «Moncler».</w:t>
      </w:r>
    </w:p>
    <w:p w14:paraId="35FF6AD5" w14:textId="77777777" w:rsidR="00E32F98" w:rsidRDefault="00E32F98">
      <w:pPr>
        <w:pStyle w:val="Corpsdetexte"/>
        <w:spacing w:before="241"/>
      </w:pPr>
    </w:p>
    <w:p w14:paraId="22B2322A" w14:textId="77777777" w:rsidR="00E32F98" w:rsidRDefault="00000000">
      <w:pPr>
        <w:pStyle w:val="Titre2"/>
        <w:spacing w:line="242" w:lineRule="auto"/>
        <w:ind w:left="166" w:right="151" w:firstLine="0"/>
        <w:jc w:val="both"/>
      </w:pPr>
      <w:r>
        <w:t>Risque de confusion — article 60, paragraphe 1, point a),</w:t>
      </w:r>
      <w:r>
        <w:rPr>
          <w:spacing w:val="-2"/>
        </w:rPr>
        <w:t xml:space="preserve"> </w:t>
      </w:r>
      <w:r>
        <w:t>du</w:t>
      </w:r>
      <w:r>
        <w:rPr>
          <w:spacing w:val="-2"/>
        </w:rPr>
        <w:t xml:space="preserve"> </w:t>
      </w:r>
      <w:r>
        <w:t>RMUE,</w:t>
      </w:r>
      <w:r>
        <w:rPr>
          <w:spacing w:val="-2"/>
        </w:rPr>
        <w:t xml:space="preserve"> </w:t>
      </w:r>
      <w:r>
        <w:t>lu</w:t>
      </w:r>
      <w:r>
        <w:rPr>
          <w:spacing w:val="-2"/>
        </w:rPr>
        <w:t xml:space="preserve"> </w:t>
      </w:r>
      <w:r>
        <w:t>conjointement avec</w:t>
      </w:r>
      <w:r>
        <w:rPr>
          <w:spacing w:val="-5"/>
        </w:rPr>
        <w:t xml:space="preserve"> </w:t>
      </w:r>
      <w:r>
        <w:t>l’article 8, paragraphe 1, point b), du RMUE</w:t>
      </w:r>
    </w:p>
    <w:p w14:paraId="293B455C" w14:textId="77777777" w:rsidR="00E32F98" w:rsidRDefault="00E32F98">
      <w:pPr>
        <w:pStyle w:val="Corpsdetexte"/>
        <w:rPr>
          <w:rFonts w:ascii="Arial"/>
          <w:b/>
        </w:rPr>
      </w:pPr>
    </w:p>
    <w:p w14:paraId="61E09491" w14:textId="77777777" w:rsidR="00E32F98" w:rsidRDefault="00E32F98">
      <w:pPr>
        <w:pStyle w:val="Corpsdetexte"/>
        <w:spacing w:before="4"/>
        <w:rPr>
          <w:rFonts w:ascii="Arial"/>
          <w:b/>
        </w:rPr>
      </w:pPr>
    </w:p>
    <w:p w14:paraId="7FB056B7" w14:textId="77777777" w:rsidR="00E32F98" w:rsidRDefault="00000000">
      <w:pPr>
        <w:pStyle w:val="Corpsdetexte"/>
        <w:ind w:left="166" w:right="152"/>
        <w:jc w:val="both"/>
      </w:pPr>
      <w:r>
        <w:t>Conformément</w:t>
      </w:r>
      <w:r>
        <w:rPr>
          <w:spacing w:val="40"/>
        </w:rPr>
        <w:t xml:space="preserve"> </w:t>
      </w:r>
      <w:r>
        <w:t>à</w:t>
      </w:r>
      <w:r>
        <w:rPr>
          <w:spacing w:val="40"/>
        </w:rPr>
        <w:t xml:space="preserve"> </w:t>
      </w:r>
      <w:r>
        <w:t>l’article</w:t>
      </w:r>
      <w:r>
        <w:rPr>
          <w:spacing w:val="-5"/>
        </w:rPr>
        <w:t xml:space="preserve"> </w:t>
      </w:r>
      <w:r>
        <w:t>8,</w:t>
      </w:r>
      <w:r>
        <w:rPr>
          <w:spacing w:val="40"/>
        </w:rPr>
        <w:t xml:space="preserve"> </w:t>
      </w:r>
      <w:r>
        <w:t>paragraphe</w:t>
      </w:r>
      <w:r>
        <w:rPr>
          <w:spacing w:val="-6"/>
        </w:rPr>
        <w:t xml:space="preserve"> </w:t>
      </w:r>
      <w:r>
        <w:t>1,</w:t>
      </w:r>
      <w:r>
        <w:rPr>
          <w:spacing w:val="40"/>
        </w:rPr>
        <w:t xml:space="preserve"> </w:t>
      </w:r>
      <w:r>
        <w:t>point</w:t>
      </w:r>
      <w:r>
        <w:rPr>
          <w:spacing w:val="-5"/>
        </w:rPr>
        <w:t xml:space="preserve"> </w:t>
      </w:r>
      <w:r>
        <w:t>b),</w:t>
      </w:r>
      <w:r>
        <w:rPr>
          <w:spacing w:val="40"/>
        </w:rPr>
        <w:t xml:space="preserve"> </w:t>
      </w:r>
      <w:r>
        <w:t>du</w:t>
      </w:r>
      <w:r>
        <w:rPr>
          <w:spacing w:val="40"/>
        </w:rPr>
        <w:t xml:space="preserve"> </w:t>
      </w:r>
      <w:r>
        <w:t>RMUE,</w:t>
      </w:r>
      <w:r>
        <w:rPr>
          <w:spacing w:val="40"/>
        </w:rPr>
        <w:t xml:space="preserve"> </w:t>
      </w:r>
      <w:r>
        <w:t>il</w:t>
      </w:r>
      <w:r>
        <w:rPr>
          <w:spacing w:val="40"/>
        </w:rPr>
        <w:t xml:space="preserve"> </w:t>
      </w:r>
      <w:r>
        <w:t>existe</w:t>
      </w:r>
      <w:r>
        <w:rPr>
          <w:spacing w:val="40"/>
        </w:rPr>
        <w:t xml:space="preserve"> </w:t>
      </w:r>
      <w:r>
        <w:t>un</w:t>
      </w:r>
      <w:r>
        <w:rPr>
          <w:spacing w:val="40"/>
        </w:rPr>
        <w:t xml:space="preserve"> </w:t>
      </w:r>
      <w:r>
        <w:t>risque</w:t>
      </w:r>
      <w:r>
        <w:rPr>
          <w:spacing w:val="40"/>
        </w:rPr>
        <w:t xml:space="preserve"> </w:t>
      </w:r>
      <w:r>
        <w:t>de confusion s’il existe un risque que le public puisse croire que les produits ou services en cause, dans l’hypothèse où ils portent les marques en cause, proviennent de la même entreprise ou, le cas échéant, d’entreprises liées économiquement. L’existence d’un risque de confusion dépend de l’appréciation, lors d’une évaluation globale, de plusieurs facteurs interdépendants. Ces facteurs incluent la similitude des signes, la similitude entre les produits et services, le</w:t>
      </w:r>
      <w:r>
        <w:rPr>
          <w:spacing w:val="-8"/>
        </w:rPr>
        <w:t xml:space="preserve"> </w:t>
      </w:r>
      <w:r>
        <w:t>caractère</w:t>
      </w:r>
      <w:r>
        <w:rPr>
          <w:spacing w:val="-8"/>
        </w:rPr>
        <w:t xml:space="preserve"> </w:t>
      </w:r>
      <w:r>
        <w:t>distinctif</w:t>
      </w:r>
      <w:r>
        <w:rPr>
          <w:spacing w:val="-5"/>
        </w:rPr>
        <w:t xml:space="preserve"> </w:t>
      </w:r>
      <w:r>
        <w:t>de</w:t>
      </w:r>
      <w:r>
        <w:rPr>
          <w:spacing w:val="-8"/>
        </w:rPr>
        <w:t xml:space="preserve"> </w:t>
      </w:r>
      <w:r>
        <w:t>la</w:t>
      </w:r>
      <w:r>
        <w:rPr>
          <w:spacing w:val="-8"/>
        </w:rPr>
        <w:t xml:space="preserve"> </w:t>
      </w:r>
      <w:r>
        <w:t>marque</w:t>
      </w:r>
      <w:r>
        <w:rPr>
          <w:spacing w:val="-8"/>
        </w:rPr>
        <w:t xml:space="preserve"> </w:t>
      </w:r>
      <w:r>
        <w:t>antérieure,</w:t>
      </w:r>
      <w:r>
        <w:rPr>
          <w:spacing w:val="-5"/>
        </w:rPr>
        <w:t xml:space="preserve"> </w:t>
      </w:r>
      <w:r>
        <w:t>les éléments distinctifs et dominants des signes en conflit, et le public concerné.</w:t>
      </w:r>
    </w:p>
    <w:p w14:paraId="2AFB94BB" w14:textId="77777777" w:rsidR="00E32F98" w:rsidRDefault="00000000">
      <w:pPr>
        <w:pStyle w:val="Corpsdetexte"/>
        <w:spacing w:before="244"/>
        <w:ind w:left="166"/>
        <w:jc w:val="both"/>
      </w:pPr>
      <w:r>
        <w:rPr>
          <w:u w:val="single"/>
        </w:rPr>
        <w:t>Remarque</w:t>
      </w:r>
      <w:r>
        <w:rPr>
          <w:spacing w:val="-9"/>
          <w:u w:val="single"/>
        </w:rPr>
        <w:t xml:space="preserve"> </w:t>
      </w:r>
      <w:r>
        <w:rPr>
          <w:u w:val="single"/>
        </w:rPr>
        <w:t>liminaire</w:t>
      </w:r>
      <w:r>
        <w:rPr>
          <w:spacing w:val="-9"/>
          <w:u w:val="single"/>
        </w:rPr>
        <w:t xml:space="preserve"> </w:t>
      </w:r>
      <w:r>
        <w:rPr>
          <w:u w:val="single"/>
        </w:rPr>
        <w:t>sur</w:t>
      </w:r>
      <w:r>
        <w:rPr>
          <w:spacing w:val="-3"/>
          <w:u w:val="single"/>
        </w:rPr>
        <w:t xml:space="preserve"> </w:t>
      </w:r>
      <w:r>
        <w:rPr>
          <w:u w:val="single"/>
        </w:rPr>
        <w:t>la</w:t>
      </w:r>
      <w:r>
        <w:rPr>
          <w:spacing w:val="-9"/>
          <w:u w:val="single"/>
        </w:rPr>
        <w:t xml:space="preserve"> </w:t>
      </w:r>
      <w:r>
        <w:rPr>
          <w:u w:val="single"/>
        </w:rPr>
        <w:t>preuve</w:t>
      </w:r>
      <w:r>
        <w:rPr>
          <w:spacing w:val="6"/>
          <w:u w:val="single"/>
        </w:rPr>
        <w:t xml:space="preserve"> </w:t>
      </w:r>
      <w:r>
        <w:rPr>
          <w:u w:val="single"/>
        </w:rPr>
        <w:t>de</w:t>
      </w:r>
      <w:r>
        <w:rPr>
          <w:spacing w:val="6"/>
          <w:u w:val="single"/>
        </w:rPr>
        <w:t xml:space="preserve"> </w:t>
      </w:r>
      <w:r>
        <w:rPr>
          <w:spacing w:val="-2"/>
          <w:u w:val="single"/>
        </w:rPr>
        <w:t>l’usage</w:t>
      </w:r>
    </w:p>
    <w:p w14:paraId="1085934B" w14:textId="77777777" w:rsidR="00E32F98" w:rsidRDefault="00E32F98">
      <w:pPr>
        <w:pStyle w:val="Corpsdetexte"/>
        <w:spacing w:before="4"/>
      </w:pPr>
    </w:p>
    <w:p w14:paraId="6F70510D" w14:textId="77777777" w:rsidR="00E32F98" w:rsidRDefault="00000000">
      <w:pPr>
        <w:pStyle w:val="Corpsdetexte"/>
        <w:ind w:left="166" w:right="145"/>
        <w:jc w:val="both"/>
      </w:pPr>
      <w:r>
        <w:t>La titulaire de la MUE a demandé la preuve de l’usage de la marque antérieure. Toutefois,</w:t>
      </w:r>
      <w:r>
        <w:rPr>
          <w:spacing w:val="-9"/>
        </w:rPr>
        <w:t xml:space="preserve"> </w:t>
      </w:r>
      <w:r>
        <w:t>à ce stade, la division d’annulation estime qu’il n’y a pas lieu de procéder à une appréciation des preuves de l’usage produites (15/02/2005-, 296/02, Linderhor Trocken/Lindenhof, EU:T:2005:49, § 43, 72). L’examen de la demande en</w:t>
      </w:r>
      <w:r>
        <w:rPr>
          <w:spacing w:val="-7"/>
        </w:rPr>
        <w:t xml:space="preserve"> </w:t>
      </w:r>
      <w:r>
        <w:t>nullité</w:t>
      </w:r>
      <w:r>
        <w:rPr>
          <w:spacing w:val="-7"/>
        </w:rPr>
        <w:t xml:space="preserve"> </w:t>
      </w:r>
      <w:r>
        <w:t>sera</w:t>
      </w:r>
      <w:r>
        <w:rPr>
          <w:spacing w:val="-7"/>
        </w:rPr>
        <w:t xml:space="preserve"> </w:t>
      </w:r>
      <w:r>
        <w:t>effectué</w:t>
      </w:r>
      <w:r>
        <w:rPr>
          <w:spacing w:val="-7"/>
        </w:rPr>
        <w:t xml:space="preserve"> </w:t>
      </w:r>
      <w:r>
        <w:t>comme</w:t>
      </w:r>
      <w:r>
        <w:rPr>
          <w:spacing w:val="-7"/>
        </w:rPr>
        <w:t xml:space="preserve"> </w:t>
      </w:r>
      <w:r>
        <w:t>si</w:t>
      </w:r>
      <w:r>
        <w:rPr>
          <w:spacing w:val="-7"/>
        </w:rPr>
        <w:t xml:space="preserve"> </w:t>
      </w:r>
      <w:r>
        <w:t xml:space="preserve">l’usage sérieux de la marque antérieure avait été prouvé pour l’ensemble des produits invoqués, ce qui est le meilleur contexte dans lequel l’argumentation de la demanderesse peut être </w:t>
      </w:r>
      <w:r>
        <w:rPr>
          <w:spacing w:val="-2"/>
        </w:rPr>
        <w:t>examinée.</w:t>
      </w:r>
    </w:p>
    <w:p w14:paraId="42E25164" w14:textId="77777777" w:rsidR="00E32F98" w:rsidRDefault="00E32F98">
      <w:pPr>
        <w:pStyle w:val="Corpsdetexte"/>
        <w:spacing w:before="3"/>
      </w:pPr>
    </w:p>
    <w:p w14:paraId="7F5931EE" w14:textId="77777777" w:rsidR="00E32F98" w:rsidRDefault="00000000">
      <w:pPr>
        <w:pStyle w:val="Titre2"/>
        <w:numPr>
          <w:ilvl w:val="0"/>
          <w:numId w:val="2"/>
        </w:numPr>
        <w:tabs>
          <w:tab w:val="left" w:pos="419"/>
        </w:tabs>
        <w:ind w:left="419" w:hanging="253"/>
      </w:pPr>
      <w:r>
        <w:t>Les</w:t>
      </w:r>
      <w:r>
        <w:rPr>
          <w:spacing w:val="-9"/>
        </w:rPr>
        <w:t xml:space="preserve"> </w:t>
      </w:r>
      <w:r>
        <w:rPr>
          <w:spacing w:val="-2"/>
        </w:rPr>
        <w:t>produits</w:t>
      </w:r>
    </w:p>
    <w:p w14:paraId="1BDD780A" w14:textId="77777777" w:rsidR="00E32F98" w:rsidRDefault="00E32F98">
      <w:pPr>
        <w:pStyle w:val="Corpsdetexte"/>
        <w:spacing w:before="4"/>
        <w:rPr>
          <w:rFonts w:ascii="Arial"/>
          <w:b/>
        </w:rPr>
      </w:pPr>
    </w:p>
    <w:p w14:paraId="1A52E5C9" w14:textId="77777777" w:rsidR="00E32F98" w:rsidRDefault="00000000">
      <w:pPr>
        <w:pStyle w:val="Corpsdetexte"/>
        <w:spacing w:line="242" w:lineRule="auto"/>
        <w:ind w:left="166" w:right="166"/>
        <w:jc w:val="both"/>
      </w:pPr>
      <w:r>
        <w:t>Les</w:t>
      </w:r>
      <w:r>
        <w:rPr>
          <w:spacing w:val="-1"/>
        </w:rPr>
        <w:t xml:space="preserve"> </w:t>
      </w:r>
      <w:r>
        <w:t>facteurs</w:t>
      </w:r>
      <w:r>
        <w:rPr>
          <w:spacing w:val="-9"/>
        </w:rPr>
        <w:t xml:space="preserve"> </w:t>
      </w:r>
      <w:r>
        <w:t>pertinents</w:t>
      </w:r>
      <w:r>
        <w:rPr>
          <w:spacing w:val="20"/>
        </w:rPr>
        <w:t xml:space="preserve"> </w:t>
      </w:r>
      <w:r>
        <w:t>en</w:t>
      </w:r>
      <w:r>
        <w:rPr>
          <w:spacing w:val="-7"/>
        </w:rPr>
        <w:t xml:space="preserve"> </w:t>
      </w:r>
      <w:r>
        <w:t>ce</w:t>
      </w:r>
      <w:r>
        <w:rPr>
          <w:spacing w:val="-7"/>
        </w:rPr>
        <w:t xml:space="preserve"> </w:t>
      </w:r>
      <w:r>
        <w:t>qui</w:t>
      </w:r>
      <w:r>
        <w:rPr>
          <w:spacing w:val="-7"/>
        </w:rPr>
        <w:t xml:space="preserve"> </w:t>
      </w:r>
      <w:r>
        <w:t>concerne</w:t>
      </w:r>
      <w:r>
        <w:rPr>
          <w:spacing w:val="-7"/>
        </w:rPr>
        <w:t xml:space="preserve"> </w:t>
      </w:r>
      <w:r>
        <w:t>la</w:t>
      </w:r>
      <w:r>
        <w:rPr>
          <w:spacing w:val="-7"/>
        </w:rPr>
        <w:t xml:space="preserve"> </w:t>
      </w:r>
      <w:r>
        <w:t>comparaison</w:t>
      </w:r>
      <w:r>
        <w:rPr>
          <w:spacing w:val="-16"/>
        </w:rPr>
        <w:t xml:space="preserve"> </w:t>
      </w:r>
      <w:r>
        <w:t>des produits ou services</w:t>
      </w:r>
      <w:r>
        <w:rPr>
          <w:spacing w:val="-9"/>
        </w:rPr>
        <w:t xml:space="preserve"> </w:t>
      </w:r>
      <w:r>
        <w:t>incluent, en particulier, la nature et la destination des produits ou services, les canaux</w:t>
      </w:r>
      <w:r>
        <w:rPr>
          <w:spacing w:val="-13"/>
        </w:rPr>
        <w:t xml:space="preserve"> </w:t>
      </w:r>
      <w:r>
        <w:t>de</w:t>
      </w:r>
      <w:r>
        <w:rPr>
          <w:spacing w:val="-11"/>
        </w:rPr>
        <w:t xml:space="preserve"> </w:t>
      </w:r>
      <w:r>
        <w:t>distribution,</w:t>
      </w:r>
    </w:p>
    <w:p w14:paraId="794614CD" w14:textId="77777777" w:rsidR="00E32F98" w:rsidRDefault="00E32F98">
      <w:pPr>
        <w:pStyle w:val="Corpsdetexte"/>
        <w:spacing w:line="242" w:lineRule="auto"/>
        <w:jc w:val="both"/>
        <w:sectPr w:rsidR="00E32F98">
          <w:pgSz w:w="11910" w:h="16850"/>
          <w:pgMar w:top="1000" w:right="1275" w:bottom="280" w:left="1275" w:header="727" w:footer="0" w:gutter="0"/>
          <w:cols w:space="720"/>
        </w:sectPr>
      </w:pPr>
    </w:p>
    <w:p w14:paraId="1098F2F0" w14:textId="77777777" w:rsidR="00E32F98" w:rsidRDefault="00000000">
      <w:pPr>
        <w:pStyle w:val="Corpsdetexte"/>
        <w:spacing w:before="186"/>
      </w:pPr>
      <w:r>
        <w:rPr>
          <w:noProof/>
        </w:rPr>
        <w:lastRenderedPageBreak/>
        <mc:AlternateContent>
          <mc:Choice Requires="wps">
            <w:drawing>
              <wp:anchor distT="0" distB="0" distL="0" distR="0" simplePos="0" relativeHeight="15740928" behindDoc="0" locked="0" layoutInCell="1" allowOverlap="1" wp14:anchorId="3E8BB33D" wp14:editId="1067FDCF">
                <wp:simplePos x="0" y="0"/>
                <wp:positionH relativeFrom="page">
                  <wp:posOffset>270575</wp:posOffset>
                </wp:positionH>
                <wp:positionV relativeFrom="page">
                  <wp:posOffset>1118555</wp:posOffset>
                </wp:positionV>
                <wp:extent cx="146050" cy="921004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1A03C2E8"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40928" type="#_x0000_t202" id="docshape60"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56AC9B68" w14:textId="77777777" w:rsidR="00E32F98" w:rsidRDefault="00000000">
      <w:pPr>
        <w:pStyle w:val="Corpsdetexte"/>
        <w:spacing w:line="242" w:lineRule="auto"/>
        <w:ind w:left="166" w:right="150"/>
        <w:jc w:val="both"/>
      </w:pPr>
      <w:r>
        <w:t xml:space="preserve">les points de vente, les producteurs, l’utilisation ainsi que leur caractère concurrent ou </w:t>
      </w:r>
      <w:r>
        <w:rPr>
          <w:spacing w:val="-2"/>
        </w:rPr>
        <w:t>complémentaire.</w:t>
      </w:r>
    </w:p>
    <w:p w14:paraId="36D2C3CB" w14:textId="77777777" w:rsidR="00E32F98" w:rsidRDefault="00000000">
      <w:pPr>
        <w:pStyle w:val="Corpsdetexte"/>
        <w:spacing w:before="239"/>
        <w:ind w:left="166"/>
        <w:jc w:val="both"/>
      </w:pPr>
      <w:r>
        <w:t>Les</w:t>
      </w:r>
      <w:r>
        <w:rPr>
          <w:spacing w:val="-2"/>
        </w:rPr>
        <w:t xml:space="preserve"> </w:t>
      </w:r>
      <w:r>
        <w:t>produits</w:t>
      </w:r>
      <w:r>
        <w:rPr>
          <w:spacing w:val="2"/>
        </w:rPr>
        <w:t xml:space="preserve"> </w:t>
      </w:r>
      <w:r>
        <w:t>sur</w:t>
      </w:r>
      <w:r>
        <w:rPr>
          <w:spacing w:val="-17"/>
        </w:rPr>
        <w:t xml:space="preserve"> </w:t>
      </w:r>
      <w:r>
        <w:t>lesquels</w:t>
      </w:r>
      <w:r>
        <w:rPr>
          <w:spacing w:val="1"/>
        </w:rPr>
        <w:t xml:space="preserve"> </w:t>
      </w:r>
      <w:r>
        <w:t>la</w:t>
      </w:r>
      <w:r>
        <w:rPr>
          <w:spacing w:val="4"/>
        </w:rPr>
        <w:t xml:space="preserve"> </w:t>
      </w:r>
      <w:r>
        <w:t>demande</w:t>
      </w:r>
      <w:r>
        <w:rPr>
          <w:spacing w:val="-11"/>
        </w:rPr>
        <w:t xml:space="preserve"> </w:t>
      </w:r>
      <w:r>
        <w:t>est</w:t>
      </w:r>
      <w:r>
        <w:rPr>
          <w:spacing w:val="-8"/>
        </w:rPr>
        <w:t xml:space="preserve"> </w:t>
      </w:r>
      <w:r>
        <w:t>fondée</w:t>
      </w:r>
      <w:r>
        <w:rPr>
          <w:spacing w:val="4"/>
        </w:rPr>
        <w:t xml:space="preserve"> </w:t>
      </w:r>
      <w:r>
        <w:t>sont</w:t>
      </w:r>
      <w:r>
        <w:rPr>
          <w:spacing w:val="-8"/>
        </w:rPr>
        <w:t xml:space="preserve"> </w:t>
      </w:r>
      <w:r>
        <w:t>les</w:t>
      </w:r>
      <w:r>
        <w:rPr>
          <w:spacing w:val="-12"/>
        </w:rPr>
        <w:t xml:space="preserve"> </w:t>
      </w:r>
      <w:r>
        <w:rPr>
          <w:spacing w:val="-2"/>
        </w:rPr>
        <w:t>suivants:</w:t>
      </w:r>
    </w:p>
    <w:p w14:paraId="4EAE0282" w14:textId="77777777" w:rsidR="00E32F98" w:rsidRDefault="00E32F98">
      <w:pPr>
        <w:pStyle w:val="Corpsdetexte"/>
        <w:spacing w:before="5"/>
      </w:pPr>
    </w:p>
    <w:p w14:paraId="04A3252C" w14:textId="77777777" w:rsidR="00E32F98" w:rsidRDefault="00000000">
      <w:pPr>
        <w:ind w:left="166" w:right="155"/>
        <w:jc w:val="both"/>
        <w:rPr>
          <w:rFonts w:ascii="Arial" w:hAnsi="Arial"/>
          <w:i/>
        </w:rPr>
      </w:pPr>
      <w:r>
        <w:t>Classe 3: Préparations</w:t>
      </w:r>
      <w:r>
        <w:rPr>
          <w:rFonts w:ascii="Arial" w:hAnsi="Arial"/>
          <w:i/>
        </w:rPr>
        <w:t>pour blanchir et autres substances pour lessiver; préparations pour nettoyer, polir, dégraisser et abraser; savons; parfumerie, huiles essentielles, cosmétiques, cheveux; dentifrices; adhésifs à usage cosmétique; produits de toilette antitranspirants reviendra; sels pour le bain non à usage médical; aérosols pour rafraîchir l’haleine;</w:t>
      </w:r>
      <w:r>
        <w:rPr>
          <w:rFonts w:ascii="Arial" w:hAnsi="Arial"/>
          <w:i/>
          <w:spacing w:val="40"/>
        </w:rPr>
        <w:t xml:space="preserve"> </w:t>
      </w:r>
      <w:r>
        <w:rPr>
          <w:rFonts w:ascii="Arial" w:hAnsi="Arial"/>
          <w:i/>
        </w:rPr>
        <w:t>bâtonnets ouatés à usage cosmétique; ouate à usage cosmétique; gels pour blanchir les dents; préparations pour polir les prothèses dentaires;</w:t>
      </w:r>
      <w:r>
        <w:rPr>
          <w:rFonts w:ascii="Arial" w:hAnsi="Arial"/>
          <w:i/>
          <w:spacing w:val="-8"/>
        </w:rPr>
        <w:t xml:space="preserve"> </w:t>
      </w:r>
      <w:r>
        <w:rPr>
          <w:rFonts w:ascii="Arial" w:hAnsi="Arial"/>
          <w:i/>
        </w:rPr>
        <w:t>adhésifs pour</w:t>
      </w:r>
      <w:r>
        <w:rPr>
          <w:rFonts w:ascii="Arial" w:hAnsi="Arial"/>
          <w:i/>
          <w:spacing w:val="-6"/>
        </w:rPr>
        <w:t xml:space="preserve"> </w:t>
      </w:r>
      <w:r>
        <w:rPr>
          <w:rFonts w:ascii="Arial" w:hAnsi="Arial"/>
          <w:i/>
        </w:rPr>
        <w:t>fixer</w:t>
      </w:r>
      <w:r>
        <w:rPr>
          <w:rFonts w:ascii="Arial" w:hAnsi="Arial"/>
          <w:i/>
          <w:spacing w:val="-6"/>
        </w:rPr>
        <w:t xml:space="preserve"> </w:t>
      </w:r>
      <w:r>
        <w:rPr>
          <w:rFonts w:ascii="Arial" w:hAnsi="Arial"/>
          <w:i/>
        </w:rPr>
        <w:t>des cils postiches; cils postiches; ongles postiches; fumigation &amp;bra; parfumerie &amp;ket;; encens;</w:t>
      </w:r>
      <w:r>
        <w:rPr>
          <w:rFonts w:ascii="Arial" w:hAnsi="Arial"/>
          <w:i/>
          <w:spacing w:val="-4"/>
        </w:rPr>
        <w:t xml:space="preserve"> </w:t>
      </w:r>
      <w:r>
        <w:rPr>
          <w:rFonts w:ascii="Arial" w:hAnsi="Arial"/>
          <w:i/>
        </w:rPr>
        <w:t>bâtonnets pour joss; laques (produits pour enlever les -); produits pour</w:t>
      </w:r>
      <w:r>
        <w:rPr>
          <w:rFonts w:ascii="Arial" w:hAnsi="Arial"/>
          <w:i/>
          <w:spacing w:val="-7"/>
        </w:rPr>
        <w:t xml:space="preserve"> </w:t>
      </w:r>
      <w:r>
        <w:rPr>
          <w:rFonts w:ascii="Arial" w:hAnsi="Arial"/>
          <w:i/>
        </w:rPr>
        <w:t>parfumer</w:t>
      </w:r>
      <w:r>
        <w:rPr>
          <w:rFonts w:ascii="Arial" w:hAnsi="Arial"/>
          <w:i/>
          <w:spacing w:val="-7"/>
        </w:rPr>
        <w:t xml:space="preserve"> </w:t>
      </w:r>
      <w:r>
        <w:rPr>
          <w:rFonts w:ascii="Arial" w:hAnsi="Arial"/>
          <w:i/>
        </w:rPr>
        <w:t>le</w:t>
      </w:r>
      <w:r>
        <w:rPr>
          <w:rFonts w:ascii="Arial" w:hAnsi="Arial"/>
          <w:i/>
          <w:spacing w:val="-11"/>
        </w:rPr>
        <w:t xml:space="preserve"> </w:t>
      </w:r>
      <w:r>
        <w:rPr>
          <w:rFonts w:ascii="Arial" w:hAnsi="Arial"/>
          <w:i/>
        </w:rPr>
        <w:t>linge;</w:t>
      </w:r>
      <w:r>
        <w:rPr>
          <w:rFonts w:ascii="Arial" w:hAnsi="Arial"/>
          <w:i/>
          <w:spacing w:val="-9"/>
        </w:rPr>
        <w:t xml:space="preserve"> </w:t>
      </w:r>
      <w:r>
        <w:rPr>
          <w:rFonts w:ascii="Arial" w:hAnsi="Arial"/>
          <w:i/>
        </w:rPr>
        <w:t>shampooings pour animaux domestiques débouché sur des préparations d’hygiène non médicamenteuses; potpourris validée contre les parfums; bois odorants; shampooings; bâtonnets ouatés à usage cosmétique; produits de toilette; motifs décoratifs à usage cosmétique; bains de bouche, non à usage médical.</w:t>
      </w:r>
    </w:p>
    <w:p w14:paraId="01D5CAB3" w14:textId="77777777" w:rsidR="00E32F98" w:rsidRDefault="00E32F98">
      <w:pPr>
        <w:pStyle w:val="Corpsdetexte"/>
        <w:spacing w:before="29"/>
        <w:rPr>
          <w:rFonts w:ascii="Arial"/>
          <w:i/>
        </w:rPr>
      </w:pPr>
    </w:p>
    <w:p w14:paraId="01CDF3F9" w14:textId="77777777" w:rsidR="00E32F98" w:rsidRDefault="00000000">
      <w:pPr>
        <w:ind w:left="166" w:right="147"/>
        <w:jc w:val="both"/>
        <w:rPr>
          <w:rFonts w:ascii="Arial" w:hAnsi="Arial"/>
          <w:i/>
        </w:rPr>
      </w:pPr>
      <w:r>
        <w:t>classe 9: Appareils et instruments scientifiques,</w:t>
      </w:r>
      <w:r>
        <w:rPr>
          <w:rFonts w:ascii="Arial" w:hAnsi="Arial"/>
          <w:i/>
        </w:rPr>
        <w:t>nautiques, géodésiques, photographiques, cinématographiques, optiques, de pesage, de mesurage, de signalisation, de contrôle (inspection), de secours (sauvetage) et d’enseignement; appareils et instruments pour la conduite, la distribution, la transformation, l’accumulation, le réglage ou la commande du courant électrique; appareils pour l’enregistrement, la transmission, la reproduction du son</w:t>
      </w:r>
      <w:r>
        <w:rPr>
          <w:rFonts w:ascii="Arial" w:hAnsi="Arial"/>
          <w:i/>
          <w:spacing w:val="40"/>
        </w:rPr>
        <w:t xml:space="preserve"> </w:t>
      </w:r>
      <w:r>
        <w:rPr>
          <w:rFonts w:ascii="Arial" w:hAnsi="Arial"/>
          <w:i/>
        </w:rPr>
        <w:t>ou des images; supports d’enregistrement magnétiques, disques acoustiques; distributeurs automatiques et mécanismes pour appareils à prépaiement; caisses enregistreuses, machines à calculer, équipement pour le traitement de l’information et les ordinateurs; extincteurs; verres de sport; étuis à lunettes;</w:t>
      </w:r>
      <w:r>
        <w:rPr>
          <w:rFonts w:ascii="Arial" w:hAnsi="Arial"/>
          <w:i/>
          <w:spacing w:val="-5"/>
        </w:rPr>
        <w:t xml:space="preserve"> </w:t>
      </w:r>
      <w:r>
        <w:rPr>
          <w:rFonts w:ascii="Arial" w:hAnsi="Arial"/>
          <w:i/>
        </w:rPr>
        <w:t>chaînettes de</w:t>
      </w:r>
      <w:r>
        <w:rPr>
          <w:rFonts w:ascii="Arial" w:hAnsi="Arial"/>
          <w:i/>
          <w:spacing w:val="-8"/>
        </w:rPr>
        <w:t xml:space="preserve"> </w:t>
      </w:r>
      <w:r>
        <w:rPr>
          <w:rFonts w:ascii="Arial" w:hAnsi="Arial"/>
          <w:i/>
        </w:rPr>
        <w:t>pince-nez;</w:t>
      </w:r>
      <w:r>
        <w:rPr>
          <w:rFonts w:ascii="Arial" w:hAnsi="Arial"/>
          <w:i/>
          <w:spacing w:val="-5"/>
        </w:rPr>
        <w:t xml:space="preserve"> </w:t>
      </w:r>
      <w:r>
        <w:rPr>
          <w:rFonts w:ascii="Arial" w:hAnsi="Arial"/>
          <w:i/>
        </w:rPr>
        <w:t>montures de</w:t>
      </w:r>
      <w:r>
        <w:rPr>
          <w:rFonts w:ascii="Arial" w:hAnsi="Arial"/>
          <w:i/>
          <w:spacing w:val="-8"/>
        </w:rPr>
        <w:t xml:space="preserve"> </w:t>
      </w:r>
      <w:r>
        <w:rPr>
          <w:rFonts w:ascii="Arial" w:hAnsi="Arial"/>
          <w:i/>
        </w:rPr>
        <w:t>lunettes; cordons de lunettes; étuis pour lentilles de contact; étuis spéciaux pour appareils et instruments photographiques; allume-cigares pour automobiles; pince-nez</w:t>
      </w:r>
      <w:r>
        <w:rPr>
          <w:rFonts w:ascii="Arial" w:hAnsi="Arial"/>
          <w:i/>
          <w:spacing w:val="-14"/>
        </w:rPr>
        <w:t xml:space="preserve"> </w:t>
      </w:r>
      <w:r>
        <w:rPr>
          <w:rFonts w:ascii="Arial" w:hAnsi="Arial"/>
          <w:i/>
        </w:rPr>
        <w:t>pour</w:t>
      </w:r>
      <w:r>
        <w:rPr>
          <w:rFonts w:ascii="Arial" w:hAnsi="Arial"/>
          <w:i/>
          <w:spacing w:val="-8"/>
        </w:rPr>
        <w:t xml:space="preserve"> </w:t>
      </w:r>
      <w:r>
        <w:rPr>
          <w:rFonts w:ascii="Arial" w:hAnsi="Arial"/>
          <w:i/>
        </w:rPr>
        <w:t>plongeurs</w:t>
      </w:r>
      <w:r>
        <w:rPr>
          <w:rFonts w:ascii="Arial" w:hAnsi="Arial"/>
          <w:i/>
          <w:spacing w:val="-1"/>
        </w:rPr>
        <w:t xml:space="preserve"> </w:t>
      </w:r>
      <w:r>
        <w:rPr>
          <w:rFonts w:ascii="Arial" w:hAnsi="Arial"/>
          <w:i/>
        </w:rPr>
        <w:t>et nageurs; claviers d’ordinateur; masques de plongée; objets</w:t>
      </w:r>
      <w:r>
        <w:rPr>
          <w:rFonts w:ascii="Arial" w:hAnsi="Arial"/>
          <w:i/>
          <w:spacing w:val="-1"/>
        </w:rPr>
        <w:t xml:space="preserve"> </w:t>
      </w:r>
      <w:r>
        <w:rPr>
          <w:rFonts w:ascii="Arial" w:hAnsi="Arial"/>
          <w:i/>
        </w:rPr>
        <w:t>de</w:t>
      </w:r>
      <w:r>
        <w:rPr>
          <w:rFonts w:ascii="Arial" w:hAnsi="Arial"/>
          <w:i/>
          <w:spacing w:val="-13"/>
        </w:rPr>
        <w:t xml:space="preserve"> </w:t>
      </w:r>
      <w:r>
        <w:rPr>
          <w:rFonts w:ascii="Arial" w:hAnsi="Arial"/>
          <w:i/>
        </w:rPr>
        <w:t>flottant</w:t>
      </w:r>
      <w:r>
        <w:rPr>
          <w:rFonts w:ascii="Arial" w:hAnsi="Arial"/>
          <w:i/>
          <w:spacing w:val="-10"/>
        </w:rPr>
        <w:t xml:space="preserve"> </w:t>
      </w:r>
      <w:r>
        <w:rPr>
          <w:rFonts w:ascii="Arial" w:hAnsi="Arial"/>
          <w:i/>
        </w:rPr>
        <w:t>pour</w:t>
      </w:r>
      <w:r>
        <w:rPr>
          <w:rFonts w:ascii="Arial" w:hAnsi="Arial"/>
          <w:i/>
          <w:spacing w:val="-9"/>
        </w:rPr>
        <w:t xml:space="preserve"> </w:t>
      </w:r>
      <w:r>
        <w:rPr>
          <w:rFonts w:ascii="Arial" w:hAnsi="Arial"/>
          <w:i/>
        </w:rPr>
        <w:t>la</w:t>
      </w:r>
      <w:r>
        <w:rPr>
          <w:rFonts w:ascii="Arial" w:hAnsi="Arial"/>
          <w:i/>
          <w:spacing w:val="-13"/>
        </w:rPr>
        <w:t xml:space="preserve"> </w:t>
      </w:r>
      <w:r>
        <w:rPr>
          <w:rFonts w:ascii="Arial" w:hAnsi="Arial"/>
          <w:i/>
        </w:rPr>
        <w:t>natation;</w:t>
      </w:r>
      <w:r>
        <w:rPr>
          <w:rFonts w:ascii="Arial" w:hAnsi="Arial"/>
          <w:i/>
          <w:spacing w:val="-10"/>
        </w:rPr>
        <w:t xml:space="preserve"> </w:t>
      </w:r>
      <w:r>
        <w:rPr>
          <w:rFonts w:ascii="Arial" w:hAnsi="Arial"/>
          <w:i/>
        </w:rPr>
        <w:t>gants de plongée; casques de protection pour le sport; bombes; nécessaires mains libres pour téléphones; aimants; aimants décoratifs; tapis de souris; chaussettes chauffées électriquement; trépieds pour appareils photographiques; brassards de natation; repose- poignets à utiliser avec un ordinateur; périphériques adaptés pour être utilisés avec un ordinateur; logiciels de jeux; bigoudis chauffés électriquement; tubes à décharges</w:t>
      </w:r>
      <w:r>
        <w:rPr>
          <w:rFonts w:ascii="Arial" w:hAnsi="Arial"/>
          <w:i/>
          <w:spacing w:val="40"/>
        </w:rPr>
        <w:t xml:space="preserve"> </w:t>
      </w:r>
      <w:r>
        <w:rPr>
          <w:rFonts w:ascii="Arial" w:hAnsi="Arial"/>
          <w:i/>
        </w:rPr>
        <w:t>électriques autres que pour l’éclairage.</w:t>
      </w:r>
    </w:p>
    <w:p w14:paraId="55153AC0" w14:textId="77777777" w:rsidR="00E32F98" w:rsidRDefault="00E32F98">
      <w:pPr>
        <w:pStyle w:val="Corpsdetexte"/>
        <w:spacing w:before="13"/>
        <w:rPr>
          <w:rFonts w:ascii="Arial"/>
          <w:i/>
        </w:rPr>
      </w:pPr>
    </w:p>
    <w:p w14:paraId="2A7BB76E" w14:textId="77777777" w:rsidR="00E32F98" w:rsidRDefault="00000000">
      <w:pPr>
        <w:ind w:left="166" w:right="150"/>
        <w:jc w:val="both"/>
        <w:rPr>
          <w:rFonts w:ascii="Arial" w:hAnsi="Arial"/>
          <w:i/>
        </w:rPr>
      </w:pPr>
      <w:r>
        <w:t xml:space="preserve">Classe 14: </w:t>
      </w:r>
      <w:r>
        <w:rPr>
          <w:rFonts w:ascii="Arial" w:hAnsi="Arial"/>
          <w:i/>
        </w:rPr>
        <w:t>Métaux précieux et leurs alliages et produits en ces matières ou en plaqué non compris dans d’autres classes; joaillerie, bijouterie, pierres précieuses; horlogerie et instruments chronométriques; logements pour horloges et montres; écrins pour la présentation d’horloges; chaînes de montres; boîtes d’horloges; aiguilles d’horloge; cadratures; pièces de monnaie; cadrans pour articles d’horlogerie; coffrets à bijoux; porte- clés fantaisie brisés avec breloque ou fob décoration; médailles; mouvements d’horlogerie; pendulums énonçant horloger et horloger; pierres semi-précieuses; ressorts de montres; bracelets de montres;</w:t>
      </w:r>
      <w:r>
        <w:rPr>
          <w:rFonts w:ascii="Arial" w:hAnsi="Arial"/>
          <w:i/>
          <w:spacing w:val="-6"/>
        </w:rPr>
        <w:t xml:space="preserve"> </w:t>
      </w:r>
      <w:r>
        <w:rPr>
          <w:rFonts w:ascii="Arial" w:hAnsi="Arial"/>
          <w:i/>
        </w:rPr>
        <w:t>boîtiers</w:t>
      </w:r>
      <w:r>
        <w:rPr>
          <w:rFonts w:ascii="Arial" w:hAnsi="Arial"/>
          <w:i/>
          <w:spacing w:val="40"/>
        </w:rPr>
        <w:t xml:space="preserve"> </w:t>
      </w:r>
      <w:r>
        <w:rPr>
          <w:rFonts w:ascii="Arial" w:hAnsi="Arial"/>
          <w:i/>
        </w:rPr>
        <w:t>de montres;</w:t>
      </w:r>
      <w:r>
        <w:rPr>
          <w:rFonts w:ascii="Arial" w:hAnsi="Arial"/>
          <w:i/>
          <w:spacing w:val="-6"/>
        </w:rPr>
        <w:t xml:space="preserve"> </w:t>
      </w:r>
      <w:r>
        <w:rPr>
          <w:rFonts w:ascii="Arial" w:hAnsi="Arial"/>
          <w:i/>
        </w:rPr>
        <w:t>glaces de montre.</w:t>
      </w:r>
    </w:p>
    <w:p w14:paraId="6738C76F" w14:textId="77777777" w:rsidR="00E32F98" w:rsidRDefault="00E32F98">
      <w:pPr>
        <w:pStyle w:val="Corpsdetexte"/>
        <w:spacing w:before="20"/>
        <w:rPr>
          <w:rFonts w:ascii="Arial"/>
          <w:i/>
        </w:rPr>
      </w:pPr>
    </w:p>
    <w:p w14:paraId="0847CA50" w14:textId="77777777" w:rsidR="00E32F98" w:rsidRDefault="00000000">
      <w:pPr>
        <w:ind w:left="166" w:right="150"/>
        <w:jc w:val="both"/>
        <w:rPr>
          <w:rFonts w:ascii="Arial" w:hAnsi="Arial"/>
          <w:i/>
        </w:rPr>
      </w:pPr>
      <w:r>
        <w:t xml:space="preserve">Classe 16: </w:t>
      </w:r>
      <w:r>
        <w:rPr>
          <w:rFonts w:ascii="Arial" w:hAnsi="Arial"/>
          <w:i/>
        </w:rPr>
        <w:t>Papier, carton et produits en ces matières, non compris dans d’autres classes; produits de l’imprimerie; articles pour reliures; photographies; papeterie; adhésifs (matières collantes) pour la papeterie ou le ménage; matériel pour les artistes; pinceaux; machines à écrire et articles de bureau (à l’exception des meubles); matériel d’instruction ou d’enseignement (à l’exception des appareils); matières plastiques pour l’emballage (non comprises</w:t>
      </w:r>
      <w:r>
        <w:rPr>
          <w:rFonts w:ascii="Arial" w:hAnsi="Arial"/>
          <w:i/>
          <w:spacing w:val="-7"/>
        </w:rPr>
        <w:t xml:space="preserve"> </w:t>
      </w:r>
      <w:r>
        <w:rPr>
          <w:rFonts w:ascii="Arial" w:hAnsi="Arial"/>
          <w:i/>
        </w:rPr>
        <w:t>dans</w:t>
      </w:r>
      <w:r>
        <w:rPr>
          <w:rFonts w:ascii="Arial" w:hAnsi="Arial"/>
          <w:i/>
          <w:spacing w:val="-6"/>
        </w:rPr>
        <w:t xml:space="preserve"> </w:t>
      </w:r>
      <w:r>
        <w:rPr>
          <w:rFonts w:ascii="Arial" w:hAnsi="Arial"/>
          <w:i/>
        </w:rPr>
        <w:t>d’autres</w:t>
      </w:r>
      <w:r>
        <w:rPr>
          <w:rFonts w:ascii="Arial" w:hAnsi="Arial"/>
          <w:i/>
          <w:spacing w:val="25"/>
        </w:rPr>
        <w:t xml:space="preserve"> </w:t>
      </w:r>
      <w:r>
        <w:rPr>
          <w:rFonts w:ascii="Arial" w:hAnsi="Arial"/>
          <w:i/>
        </w:rPr>
        <w:t>classes);</w:t>
      </w:r>
      <w:r>
        <w:rPr>
          <w:rFonts w:ascii="Arial" w:hAnsi="Arial"/>
          <w:i/>
          <w:spacing w:val="-16"/>
        </w:rPr>
        <w:t xml:space="preserve"> </w:t>
      </w:r>
      <w:r>
        <w:rPr>
          <w:rFonts w:ascii="Arial" w:hAnsi="Arial"/>
          <w:i/>
        </w:rPr>
        <w:t>caractères</w:t>
      </w:r>
      <w:r>
        <w:rPr>
          <w:rFonts w:ascii="Arial" w:hAnsi="Arial"/>
          <w:i/>
          <w:spacing w:val="-5"/>
        </w:rPr>
        <w:t xml:space="preserve"> </w:t>
      </w:r>
      <w:r>
        <w:rPr>
          <w:rFonts w:ascii="Arial" w:hAnsi="Arial"/>
          <w:i/>
        </w:rPr>
        <w:t>d’imprimerie; clichés;</w:t>
      </w:r>
      <w:r>
        <w:rPr>
          <w:rFonts w:ascii="Arial" w:hAnsi="Arial"/>
          <w:i/>
          <w:spacing w:val="-16"/>
        </w:rPr>
        <w:t xml:space="preserve"> </w:t>
      </w:r>
      <w:r>
        <w:rPr>
          <w:rFonts w:ascii="Arial" w:hAnsi="Arial"/>
          <w:i/>
        </w:rPr>
        <w:t>rubans (adhésifs)</w:t>
      </w:r>
      <w:r>
        <w:rPr>
          <w:rFonts w:ascii="Arial" w:hAnsi="Arial"/>
          <w:i/>
          <w:spacing w:val="-14"/>
        </w:rPr>
        <w:t xml:space="preserve"> </w:t>
      </w:r>
      <w:r>
        <w:rPr>
          <w:rFonts w:ascii="Arial" w:hAnsi="Arial"/>
          <w:i/>
        </w:rPr>
        <w:t>pour la papeterie</w:t>
      </w:r>
      <w:r>
        <w:rPr>
          <w:rFonts w:ascii="Arial" w:hAnsi="Arial"/>
          <w:i/>
          <w:spacing w:val="79"/>
        </w:rPr>
        <w:t xml:space="preserve"> </w:t>
      </w:r>
      <w:r>
        <w:rPr>
          <w:rFonts w:ascii="Arial" w:hAnsi="Arial"/>
          <w:i/>
        </w:rPr>
        <w:t>ou</w:t>
      </w:r>
      <w:r>
        <w:rPr>
          <w:rFonts w:ascii="Arial" w:hAnsi="Arial"/>
          <w:i/>
          <w:spacing w:val="79"/>
        </w:rPr>
        <w:t xml:space="preserve"> </w:t>
      </w:r>
      <w:r>
        <w:rPr>
          <w:rFonts w:ascii="Arial" w:hAnsi="Arial"/>
          <w:i/>
        </w:rPr>
        <w:t>le</w:t>
      </w:r>
      <w:r>
        <w:rPr>
          <w:rFonts w:ascii="Arial" w:hAnsi="Arial"/>
          <w:i/>
          <w:spacing w:val="79"/>
        </w:rPr>
        <w:t xml:space="preserve"> </w:t>
      </w:r>
      <w:r>
        <w:rPr>
          <w:rFonts w:ascii="Arial" w:hAnsi="Arial"/>
          <w:i/>
        </w:rPr>
        <w:t>ménage;</w:t>
      </w:r>
      <w:r>
        <w:rPr>
          <w:rFonts w:ascii="Arial" w:hAnsi="Arial"/>
          <w:i/>
          <w:spacing w:val="80"/>
        </w:rPr>
        <w:t xml:space="preserve"> </w:t>
      </w:r>
      <w:r>
        <w:rPr>
          <w:rFonts w:ascii="Arial" w:hAnsi="Arial"/>
          <w:i/>
        </w:rPr>
        <w:t>billes</w:t>
      </w:r>
      <w:r>
        <w:rPr>
          <w:rFonts w:ascii="Arial" w:hAnsi="Arial"/>
          <w:i/>
          <w:spacing w:val="77"/>
        </w:rPr>
        <w:t xml:space="preserve"> </w:t>
      </w:r>
      <w:r>
        <w:rPr>
          <w:rFonts w:ascii="Arial" w:hAnsi="Arial"/>
          <w:i/>
        </w:rPr>
        <w:t>pour</w:t>
      </w:r>
      <w:r>
        <w:rPr>
          <w:rFonts w:ascii="Arial" w:hAnsi="Arial"/>
          <w:i/>
          <w:spacing w:val="70"/>
        </w:rPr>
        <w:t xml:space="preserve"> </w:t>
      </w:r>
      <w:r>
        <w:rPr>
          <w:rFonts w:ascii="Arial" w:hAnsi="Arial"/>
          <w:i/>
        </w:rPr>
        <w:t>stylos</w:t>
      </w:r>
      <w:r>
        <w:rPr>
          <w:rFonts w:ascii="Arial" w:hAnsi="Arial"/>
          <w:i/>
          <w:spacing w:val="77"/>
        </w:rPr>
        <w:t xml:space="preserve"> </w:t>
      </w:r>
      <w:r>
        <w:rPr>
          <w:rFonts w:ascii="Arial" w:hAnsi="Arial"/>
          <w:i/>
        </w:rPr>
        <w:t>à</w:t>
      </w:r>
      <w:r>
        <w:rPr>
          <w:rFonts w:ascii="Arial" w:hAnsi="Arial"/>
          <w:i/>
          <w:spacing w:val="65"/>
        </w:rPr>
        <w:t xml:space="preserve"> </w:t>
      </w:r>
      <w:r>
        <w:rPr>
          <w:rFonts w:ascii="Arial" w:hAnsi="Arial"/>
          <w:i/>
        </w:rPr>
        <w:t>bille;</w:t>
      </w:r>
      <w:r>
        <w:rPr>
          <w:rFonts w:ascii="Arial" w:hAnsi="Arial"/>
          <w:i/>
          <w:spacing w:val="68"/>
        </w:rPr>
        <w:t xml:space="preserve"> </w:t>
      </w:r>
      <w:r>
        <w:rPr>
          <w:rFonts w:ascii="Arial" w:hAnsi="Arial"/>
          <w:i/>
        </w:rPr>
        <w:t>pochettes</w:t>
      </w:r>
      <w:r>
        <w:rPr>
          <w:rFonts w:ascii="Arial" w:hAnsi="Arial"/>
          <w:i/>
          <w:spacing w:val="77"/>
        </w:rPr>
        <w:t xml:space="preserve"> </w:t>
      </w:r>
      <w:r>
        <w:rPr>
          <w:rFonts w:ascii="Arial" w:hAnsi="Arial"/>
          <w:i/>
        </w:rPr>
        <w:t>pour</w:t>
      </w:r>
      <w:r>
        <w:rPr>
          <w:rFonts w:ascii="Arial" w:hAnsi="Arial"/>
          <w:i/>
          <w:spacing w:val="70"/>
        </w:rPr>
        <w:t xml:space="preserve"> </w:t>
      </w:r>
      <w:r>
        <w:rPr>
          <w:rFonts w:ascii="Arial" w:hAnsi="Arial"/>
          <w:i/>
        </w:rPr>
        <w:t>passeports;</w:t>
      </w:r>
      <w:r>
        <w:rPr>
          <w:rFonts w:ascii="Arial" w:hAnsi="Arial"/>
          <w:i/>
          <w:spacing w:val="68"/>
        </w:rPr>
        <w:t xml:space="preserve"> </w:t>
      </w:r>
      <w:r>
        <w:rPr>
          <w:rFonts w:ascii="Arial" w:hAnsi="Arial"/>
          <w:i/>
        </w:rPr>
        <w:t>porte-</w:t>
      </w:r>
    </w:p>
    <w:p w14:paraId="4529227F" w14:textId="77777777" w:rsidR="00E32F98" w:rsidRDefault="00E32F98">
      <w:pPr>
        <w:jc w:val="both"/>
        <w:rPr>
          <w:rFonts w:ascii="Arial" w:hAnsi="Arial"/>
          <w:i/>
        </w:rPr>
        <w:sectPr w:rsidR="00E32F98">
          <w:pgSz w:w="11910" w:h="16850"/>
          <w:pgMar w:top="1000" w:right="1275" w:bottom="280" w:left="1275" w:header="727" w:footer="0" w:gutter="0"/>
          <w:cols w:space="720"/>
        </w:sectPr>
      </w:pPr>
    </w:p>
    <w:p w14:paraId="561D4E42" w14:textId="77777777" w:rsidR="00E32F98" w:rsidRDefault="00000000">
      <w:pPr>
        <w:pStyle w:val="Corpsdetexte"/>
        <w:spacing w:before="186"/>
        <w:rPr>
          <w:rFonts w:ascii="Arial"/>
          <w:i/>
        </w:rPr>
      </w:pPr>
      <w:r>
        <w:rPr>
          <w:rFonts w:ascii="Arial"/>
          <w:i/>
          <w:noProof/>
        </w:rPr>
        <w:lastRenderedPageBreak/>
        <mc:AlternateContent>
          <mc:Choice Requires="wps">
            <w:drawing>
              <wp:anchor distT="0" distB="0" distL="0" distR="0" simplePos="0" relativeHeight="15741440" behindDoc="0" locked="0" layoutInCell="1" allowOverlap="1" wp14:anchorId="0080AF17" wp14:editId="63C9C45E">
                <wp:simplePos x="0" y="0"/>
                <wp:positionH relativeFrom="page">
                  <wp:posOffset>270575</wp:posOffset>
                </wp:positionH>
                <wp:positionV relativeFrom="page">
                  <wp:posOffset>1118555</wp:posOffset>
                </wp:positionV>
                <wp:extent cx="146050" cy="92100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779B9884"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41440" type="#_x0000_t202" id="docshape61"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3D5017F0" w14:textId="77777777" w:rsidR="00E32F98" w:rsidRDefault="00000000">
      <w:pPr>
        <w:spacing w:line="242" w:lineRule="auto"/>
        <w:ind w:left="166" w:right="162"/>
        <w:jc w:val="both"/>
        <w:rPr>
          <w:rFonts w:ascii="Arial" w:hAnsi="Arial"/>
          <w:i/>
        </w:rPr>
      </w:pPr>
      <w:r>
        <w:rPr>
          <w:rFonts w:ascii="Arial" w:hAnsi="Arial"/>
          <w:i/>
        </w:rPr>
        <w:t>chéquiers; supports pour photographies; rubans autoadhésifs pour la papeterie ou le ménage; porte-billets.</w:t>
      </w:r>
    </w:p>
    <w:p w14:paraId="44B3237C" w14:textId="77777777" w:rsidR="00E32F98" w:rsidRDefault="00E32F98">
      <w:pPr>
        <w:pStyle w:val="Corpsdetexte"/>
        <w:spacing w:before="16"/>
        <w:rPr>
          <w:rFonts w:ascii="Arial"/>
          <w:i/>
        </w:rPr>
      </w:pPr>
    </w:p>
    <w:p w14:paraId="276528F6" w14:textId="77777777" w:rsidR="00E32F98" w:rsidRDefault="00000000">
      <w:pPr>
        <w:ind w:left="166" w:right="150"/>
        <w:jc w:val="both"/>
        <w:rPr>
          <w:rFonts w:ascii="Arial" w:hAnsi="Arial"/>
          <w:i/>
        </w:rPr>
      </w:pPr>
      <w:r>
        <w:t xml:space="preserve">Classe 18: </w:t>
      </w:r>
      <w:r>
        <w:rPr>
          <w:rFonts w:ascii="Arial" w:hAnsi="Arial"/>
          <w:i/>
        </w:rPr>
        <w:t>Cuir et imitations du cuir, produits en ces matières non compris dans d’autres classes; peaux d’animaux; malles et valises; parapluies, parasols et cannes; fouets et sellerie; mallettes pour documents; fourre-tout; sacs de sport; bandoulières &amp;bra; courroies &amp;ket; en cuir;</w:t>
      </w:r>
      <w:r>
        <w:rPr>
          <w:rFonts w:ascii="Arial" w:hAnsi="Arial"/>
          <w:i/>
          <w:spacing w:val="-1"/>
        </w:rPr>
        <w:t xml:space="preserve"> </w:t>
      </w:r>
      <w:r>
        <w:rPr>
          <w:rFonts w:ascii="Arial" w:hAnsi="Arial"/>
          <w:i/>
        </w:rPr>
        <w:t>sacs de</w:t>
      </w:r>
      <w:r>
        <w:rPr>
          <w:rFonts w:ascii="Arial" w:hAnsi="Arial"/>
          <w:i/>
          <w:spacing w:val="-4"/>
        </w:rPr>
        <w:t xml:space="preserve"> </w:t>
      </w:r>
      <w:r>
        <w:rPr>
          <w:rFonts w:ascii="Arial" w:hAnsi="Arial"/>
          <w:i/>
        </w:rPr>
        <w:t>plage;</w:t>
      </w:r>
      <w:r>
        <w:rPr>
          <w:rFonts w:ascii="Arial" w:hAnsi="Arial"/>
          <w:i/>
          <w:spacing w:val="-1"/>
        </w:rPr>
        <w:t xml:space="preserve"> </w:t>
      </w:r>
      <w:r>
        <w:rPr>
          <w:rFonts w:ascii="Arial" w:hAnsi="Arial"/>
          <w:i/>
        </w:rPr>
        <w:t>porte-documents;</w:t>
      </w:r>
      <w:r>
        <w:rPr>
          <w:rFonts w:ascii="Arial" w:hAnsi="Arial"/>
          <w:i/>
          <w:spacing w:val="-1"/>
        </w:rPr>
        <w:t xml:space="preserve"> </w:t>
      </w:r>
      <w:r>
        <w:rPr>
          <w:rFonts w:ascii="Arial" w:hAnsi="Arial"/>
          <w:i/>
        </w:rPr>
        <w:t>porte-cartes notecases valoriser;</w:t>
      </w:r>
      <w:r>
        <w:rPr>
          <w:rFonts w:ascii="Arial" w:hAnsi="Arial"/>
          <w:i/>
          <w:spacing w:val="-1"/>
        </w:rPr>
        <w:t xml:space="preserve"> </w:t>
      </w:r>
      <w:r>
        <w:rPr>
          <w:rFonts w:ascii="Arial" w:hAnsi="Arial"/>
          <w:i/>
        </w:rPr>
        <w:t>bourses de mailles; habits pour animaux de compagnie; colliers pour animaux; fourreaux de parapluie; colliers pour chiens; carcasses de sacs à main; parapluies ou parasols; sacs à main; poignées de valises; poignées de cannes; havresacs; couvertures de chevaux; porte- musique; muselières; portefeuilles; porte-monnaie; sacs à</w:t>
      </w:r>
      <w:r>
        <w:rPr>
          <w:rFonts w:ascii="Arial" w:hAnsi="Arial"/>
          <w:i/>
          <w:spacing w:val="-2"/>
        </w:rPr>
        <w:t xml:space="preserve"> </w:t>
      </w:r>
      <w:r>
        <w:rPr>
          <w:rFonts w:ascii="Arial" w:hAnsi="Arial"/>
          <w:i/>
        </w:rPr>
        <w:t>dos; cartables; sacs à</w:t>
      </w:r>
      <w:r>
        <w:rPr>
          <w:rFonts w:ascii="Arial" w:hAnsi="Arial"/>
          <w:i/>
          <w:spacing w:val="-2"/>
        </w:rPr>
        <w:t xml:space="preserve"> </w:t>
      </w:r>
      <w:r>
        <w:rPr>
          <w:rFonts w:ascii="Arial" w:hAnsi="Arial"/>
          <w:i/>
        </w:rPr>
        <w:t>provisions; courroies de patins; écharpes pour porter les bébés; poignées de parapluies; anneaux pour parapluies;</w:t>
      </w:r>
      <w:r>
        <w:rPr>
          <w:rFonts w:ascii="Arial" w:hAnsi="Arial"/>
          <w:i/>
          <w:spacing w:val="37"/>
        </w:rPr>
        <w:t xml:space="preserve"> </w:t>
      </w:r>
      <w:r>
        <w:rPr>
          <w:rFonts w:ascii="Arial" w:hAnsi="Arial"/>
          <w:i/>
        </w:rPr>
        <w:t>cannes</w:t>
      </w:r>
      <w:r>
        <w:rPr>
          <w:rFonts w:ascii="Arial" w:hAnsi="Arial"/>
          <w:i/>
          <w:spacing w:val="40"/>
        </w:rPr>
        <w:t xml:space="preserve"> </w:t>
      </w:r>
      <w:r>
        <w:rPr>
          <w:rFonts w:ascii="Arial" w:hAnsi="Arial"/>
          <w:i/>
        </w:rPr>
        <w:t>de</w:t>
      </w:r>
      <w:r>
        <w:rPr>
          <w:rFonts w:ascii="Arial" w:hAnsi="Arial"/>
          <w:i/>
          <w:spacing w:val="35"/>
        </w:rPr>
        <w:t xml:space="preserve"> </w:t>
      </w:r>
      <w:r>
        <w:rPr>
          <w:rFonts w:ascii="Arial" w:hAnsi="Arial"/>
          <w:i/>
        </w:rPr>
        <w:t>parapluies;</w:t>
      </w:r>
      <w:r>
        <w:rPr>
          <w:rFonts w:ascii="Arial" w:hAnsi="Arial"/>
          <w:i/>
          <w:spacing w:val="37"/>
        </w:rPr>
        <w:t xml:space="preserve"> </w:t>
      </w:r>
      <w:r>
        <w:rPr>
          <w:rFonts w:ascii="Arial" w:hAnsi="Arial"/>
          <w:i/>
        </w:rPr>
        <w:t>coffrets</w:t>
      </w:r>
      <w:r>
        <w:rPr>
          <w:rFonts w:ascii="Arial" w:hAnsi="Arial"/>
          <w:i/>
          <w:spacing w:val="40"/>
        </w:rPr>
        <w:t xml:space="preserve"> </w:t>
      </w:r>
      <w:r>
        <w:rPr>
          <w:rFonts w:ascii="Arial" w:hAnsi="Arial"/>
          <w:i/>
        </w:rPr>
        <w:t>destinés</w:t>
      </w:r>
      <w:r>
        <w:rPr>
          <w:rFonts w:ascii="Arial" w:hAnsi="Arial"/>
          <w:i/>
          <w:spacing w:val="40"/>
        </w:rPr>
        <w:t xml:space="preserve"> </w:t>
      </w:r>
      <w:r>
        <w:rPr>
          <w:rFonts w:ascii="Arial" w:hAnsi="Arial"/>
          <w:i/>
        </w:rPr>
        <w:t>à</w:t>
      </w:r>
      <w:r>
        <w:rPr>
          <w:rFonts w:ascii="Arial" w:hAnsi="Arial"/>
          <w:i/>
          <w:spacing w:val="35"/>
        </w:rPr>
        <w:t xml:space="preserve"> </w:t>
      </w:r>
      <w:r>
        <w:rPr>
          <w:rFonts w:ascii="Arial" w:hAnsi="Arial"/>
          <w:i/>
        </w:rPr>
        <w:t>contenir</w:t>
      </w:r>
      <w:r>
        <w:rPr>
          <w:rFonts w:ascii="Arial" w:hAnsi="Arial"/>
          <w:i/>
          <w:spacing w:val="39"/>
        </w:rPr>
        <w:t xml:space="preserve"> </w:t>
      </w:r>
      <w:r>
        <w:rPr>
          <w:rFonts w:ascii="Arial" w:hAnsi="Arial"/>
          <w:i/>
        </w:rPr>
        <w:t>des</w:t>
      </w:r>
      <w:r>
        <w:rPr>
          <w:rFonts w:ascii="Arial" w:hAnsi="Arial"/>
          <w:i/>
          <w:spacing w:val="32"/>
        </w:rPr>
        <w:t xml:space="preserve"> </w:t>
      </w:r>
      <w:r>
        <w:rPr>
          <w:rFonts w:ascii="Arial" w:hAnsi="Arial"/>
          <w:i/>
        </w:rPr>
        <w:t>articles</w:t>
      </w:r>
      <w:r>
        <w:rPr>
          <w:rFonts w:ascii="Arial" w:hAnsi="Arial"/>
          <w:i/>
          <w:spacing w:val="32"/>
        </w:rPr>
        <w:t xml:space="preserve"> </w:t>
      </w:r>
      <w:r>
        <w:rPr>
          <w:rFonts w:ascii="Arial" w:hAnsi="Arial"/>
          <w:i/>
        </w:rPr>
        <w:t>de</w:t>
      </w:r>
      <w:r>
        <w:rPr>
          <w:rFonts w:ascii="Arial" w:hAnsi="Arial"/>
          <w:i/>
          <w:spacing w:val="20"/>
        </w:rPr>
        <w:t xml:space="preserve"> </w:t>
      </w:r>
      <w:r>
        <w:rPr>
          <w:rFonts w:ascii="Arial" w:hAnsi="Arial"/>
          <w:i/>
        </w:rPr>
        <w:t>toilette</w:t>
      </w:r>
      <w:r>
        <w:rPr>
          <w:rFonts w:ascii="Arial" w:hAnsi="Arial"/>
          <w:i/>
          <w:spacing w:val="20"/>
        </w:rPr>
        <w:t xml:space="preserve"> </w:t>
      </w:r>
      <w:r>
        <w:rPr>
          <w:rFonts w:ascii="Arial" w:hAnsi="Arial"/>
          <w:i/>
        </w:rPr>
        <w:t>dits</w:t>
      </w:r>
    </w:p>
    <w:p w14:paraId="6EE121D5" w14:textId="77777777" w:rsidR="00E32F98" w:rsidRDefault="00000000">
      <w:pPr>
        <w:spacing w:line="246" w:lineRule="exact"/>
        <w:ind w:left="166"/>
        <w:jc w:val="both"/>
        <w:rPr>
          <w:rFonts w:ascii="Arial" w:hAnsi="Arial"/>
          <w:i/>
        </w:rPr>
      </w:pPr>
      <w:r>
        <w:rPr>
          <w:rFonts w:ascii="Arial" w:hAnsi="Arial"/>
          <w:i/>
        </w:rPr>
        <w:t>«vanity</w:t>
      </w:r>
      <w:r>
        <w:rPr>
          <w:rFonts w:ascii="Arial" w:hAnsi="Arial"/>
          <w:i/>
          <w:spacing w:val="19"/>
        </w:rPr>
        <w:t xml:space="preserve"> </w:t>
      </w:r>
      <w:r>
        <w:rPr>
          <w:rFonts w:ascii="Arial" w:hAnsi="Arial"/>
          <w:i/>
        </w:rPr>
        <w:t>cases»;</w:t>
      </w:r>
      <w:r>
        <w:rPr>
          <w:rFonts w:ascii="Arial" w:hAnsi="Arial"/>
          <w:i/>
          <w:spacing w:val="-11"/>
        </w:rPr>
        <w:t xml:space="preserve"> </w:t>
      </w:r>
      <w:r>
        <w:rPr>
          <w:rFonts w:ascii="Arial" w:hAnsi="Arial"/>
          <w:i/>
        </w:rPr>
        <w:t>cannes-sièges;</w:t>
      </w:r>
      <w:r>
        <w:rPr>
          <w:rFonts w:ascii="Arial" w:hAnsi="Arial"/>
          <w:i/>
          <w:spacing w:val="-10"/>
        </w:rPr>
        <w:t xml:space="preserve"> </w:t>
      </w:r>
      <w:r>
        <w:rPr>
          <w:rFonts w:ascii="Arial" w:hAnsi="Arial"/>
          <w:i/>
        </w:rPr>
        <w:t>sacs</w:t>
      </w:r>
      <w:r>
        <w:rPr>
          <w:rFonts w:ascii="Arial" w:hAnsi="Arial"/>
          <w:i/>
          <w:spacing w:val="1"/>
        </w:rPr>
        <w:t xml:space="preserve"> </w:t>
      </w:r>
      <w:r>
        <w:rPr>
          <w:rFonts w:ascii="Arial" w:hAnsi="Arial"/>
          <w:i/>
        </w:rPr>
        <w:t>à</w:t>
      </w:r>
      <w:r>
        <w:rPr>
          <w:rFonts w:ascii="Arial" w:hAnsi="Arial"/>
          <w:i/>
          <w:spacing w:val="-14"/>
        </w:rPr>
        <w:t xml:space="preserve"> </w:t>
      </w:r>
      <w:r>
        <w:rPr>
          <w:rFonts w:ascii="Arial" w:hAnsi="Arial"/>
          <w:i/>
          <w:spacing w:val="-2"/>
        </w:rPr>
        <w:t>roulettes.</w:t>
      </w:r>
    </w:p>
    <w:p w14:paraId="4DDBD89F" w14:textId="77777777" w:rsidR="00E32F98" w:rsidRDefault="00E32F98">
      <w:pPr>
        <w:pStyle w:val="Corpsdetexte"/>
        <w:spacing w:before="20"/>
        <w:rPr>
          <w:rFonts w:ascii="Arial"/>
          <w:i/>
        </w:rPr>
      </w:pPr>
    </w:p>
    <w:p w14:paraId="06122980" w14:textId="77777777" w:rsidR="00E32F98" w:rsidRDefault="00000000">
      <w:pPr>
        <w:spacing w:line="242" w:lineRule="auto"/>
        <w:ind w:left="166" w:right="174"/>
        <w:jc w:val="both"/>
        <w:rPr>
          <w:rFonts w:ascii="Arial" w:hAnsi="Arial"/>
          <w:i/>
        </w:rPr>
      </w:pPr>
      <w:r>
        <w:t>Classe</w:t>
      </w:r>
      <w:r>
        <w:rPr>
          <w:spacing w:val="-16"/>
        </w:rPr>
        <w:t xml:space="preserve"> </w:t>
      </w:r>
      <w:r>
        <w:t xml:space="preserve">22: </w:t>
      </w:r>
      <w:r>
        <w:rPr>
          <w:rFonts w:ascii="Arial" w:hAnsi="Arial"/>
          <w:i/>
        </w:rPr>
        <w:t>Cordes, ficelles, filets, tentes, marquises,</w:t>
      </w:r>
      <w:r>
        <w:rPr>
          <w:rFonts w:ascii="Arial" w:hAnsi="Arial"/>
          <w:i/>
          <w:spacing w:val="-14"/>
        </w:rPr>
        <w:t xml:space="preserve"> </w:t>
      </w:r>
      <w:r>
        <w:rPr>
          <w:rFonts w:ascii="Arial" w:hAnsi="Arial"/>
          <w:i/>
        </w:rPr>
        <w:t>bâches, voiles,</w:t>
      </w:r>
      <w:r>
        <w:rPr>
          <w:rFonts w:ascii="Arial" w:hAnsi="Arial"/>
          <w:i/>
          <w:spacing w:val="-14"/>
        </w:rPr>
        <w:t xml:space="preserve"> </w:t>
      </w:r>
      <w:r>
        <w:rPr>
          <w:rFonts w:ascii="Arial" w:hAnsi="Arial"/>
          <w:i/>
        </w:rPr>
        <w:t>sacs</w:t>
      </w:r>
      <w:r>
        <w:rPr>
          <w:rFonts w:ascii="Arial" w:hAnsi="Arial"/>
          <w:i/>
          <w:spacing w:val="-2"/>
        </w:rPr>
        <w:t xml:space="preserve"> </w:t>
      </w:r>
      <w:r>
        <w:rPr>
          <w:rFonts w:ascii="Arial" w:hAnsi="Arial"/>
          <w:i/>
        </w:rPr>
        <w:t>(non compris</w:t>
      </w:r>
      <w:r>
        <w:rPr>
          <w:rFonts w:ascii="Arial" w:hAnsi="Arial"/>
          <w:i/>
          <w:spacing w:val="-2"/>
        </w:rPr>
        <w:t xml:space="preserve"> </w:t>
      </w:r>
      <w:r>
        <w:rPr>
          <w:rFonts w:ascii="Arial" w:hAnsi="Arial"/>
          <w:i/>
        </w:rPr>
        <w:t>dans d’autres classes); matières de rembourrage (à l’exception du caoutchouc ou des matières plastiques); matières textiles fibreuses brutes.</w:t>
      </w:r>
    </w:p>
    <w:p w14:paraId="01CECFE5" w14:textId="77777777" w:rsidR="00E32F98" w:rsidRDefault="00E32F98">
      <w:pPr>
        <w:pStyle w:val="Corpsdetexte"/>
        <w:spacing w:before="16"/>
        <w:rPr>
          <w:rFonts w:ascii="Arial"/>
          <w:i/>
        </w:rPr>
      </w:pPr>
    </w:p>
    <w:p w14:paraId="760A4719" w14:textId="77777777" w:rsidR="00E32F98" w:rsidRDefault="00000000">
      <w:pPr>
        <w:spacing w:before="1" w:line="242" w:lineRule="auto"/>
        <w:ind w:left="166" w:right="166"/>
        <w:jc w:val="both"/>
        <w:rPr>
          <w:rFonts w:ascii="Arial" w:hAnsi="Arial"/>
          <w:i/>
        </w:rPr>
      </w:pPr>
      <w:r>
        <w:t xml:space="preserve">Classe 24: </w:t>
      </w:r>
      <w:r>
        <w:rPr>
          <w:rFonts w:ascii="Arial" w:hAnsi="Arial"/>
          <w:i/>
        </w:rPr>
        <w:t>Tissus et produits textiles non compris dans d’autres classes; couvertures de</w:t>
      </w:r>
      <w:r>
        <w:rPr>
          <w:rFonts w:ascii="Arial" w:hAnsi="Arial"/>
          <w:i/>
          <w:spacing w:val="-7"/>
        </w:rPr>
        <w:t xml:space="preserve"> </w:t>
      </w:r>
      <w:r>
        <w:rPr>
          <w:rFonts w:ascii="Arial" w:hAnsi="Arial"/>
          <w:i/>
        </w:rPr>
        <w:t>lit</w:t>
      </w:r>
      <w:r>
        <w:rPr>
          <w:rFonts w:ascii="Arial" w:hAnsi="Arial"/>
          <w:i/>
          <w:spacing w:val="40"/>
        </w:rPr>
        <w:t xml:space="preserve"> </w:t>
      </w:r>
      <w:r>
        <w:rPr>
          <w:rFonts w:ascii="Arial" w:hAnsi="Arial"/>
          <w:i/>
        </w:rPr>
        <w:t>et de table.</w:t>
      </w:r>
    </w:p>
    <w:p w14:paraId="03569228" w14:textId="77777777" w:rsidR="00E32F98" w:rsidRDefault="00E32F98">
      <w:pPr>
        <w:pStyle w:val="Corpsdetexte"/>
        <w:spacing w:before="1"/>
        <w:rPr>
          <w:rFonts w:ascii="Arial"/>
          <w:i/>
        </w:rPr>
      </w:pPr>
    </w:p>
    <w:p w14:paraId="2B31CDB1" w14:textId="77777777" w:rsidR="00E32F98" w:rsidRDefault="00000000">
      <w:pPr>
        <w:spacing w:line="242" w:lineRule="auto"/>
        <w:ind w:left="166" w:right="165"/>
        <w:jc w:val="both"/>
        <w:rPr>
          <w:rFonts w:ascii="Arial" w:hAnsi="Arial"/>
          <w:i/>
        </w:rPr>
      </w:pPr>
      <w:r>
        <w:t xml:space="preserve">Classe 25: </w:t>
      </w:r>
      <w:r>
        <w:rPr>
          <w:rFonts w:ascii="Arial" w:hAnsi="Arial"/>
          <w:i/>
        </w:rPr>
        <w:t>Vêtements, chaussures, chapellerie; tiges de bottes; empeignes; talonnettes</w:t>
      </w:r>
      <w:r>
        <w:rPr>
          <w:rFonts w:ascii="Arial" w:hAnsi="Arial"/>
          <w:i/>
          <w:spacing w:val="40"/>
        </w:rPr>
        <w:t xml:space="preserve"> </w:t>
      </w:r>
      <w:r>
        <w:rPr>
          <w:rFonts w:ascii="Arial" w:hAnsi="Arial"/>
          <w:i/>
        </w:rPr>
        <w:t>pour chaussures; talons; premières; poches de vêtements; ferrures de chaussures; antidérapants pour chaussures; semelles; bouts de chaussures; visières; dispositifs antidérapants pour bottes.</w:t>
      </w:r>
    </w:p>
    <w:p w14:paraId="30ACCBE1" w14:textId="77777777" w:rsidR="00E32F98" w:rsidRDefault="00E32F98">
      <w:pPr>
        <w:pStyle w:val="Corpsdetexte"/>
        <w:spacing w:before="16"/>
        <w:rPr>
          <w:rFonts w:ascii="Arial"/>
          <w:i/>
        </w:rPr>
      </w:pPr>
    </w:p>
    <w:p w14:paraId="701642A3" w14:textId="77777777" w:rsidR="00E32F98" w:rsidRDefault="00000000">
      <w:pPr>
        <w:ind w:left="166" w:right="149"/>
        <w:jc w:val="both"/>
        <w:rPr>
          <w:rFonts w:ascii="Arial" w:hAnsi="Arial"/>
          <w:i/>
        </w:rPr>
      </w:pPr>
      <w:r>
        <w:t xml:space="preserve">Classe 28: </w:t>
      </w:r>
      <w:r>
        <w:rPr>
          <w:rFonts w:ascii="Arial" w:hAnsi="Arial"/>
          <w:i/>
        </w:rPr>
        <w:t>Jeux, jouets; articles de gymnastique et de sport non compris dans d’autres classes; décorations pour arbres de Noël; housses spécialement conçues pour skis et planches de surf; marqueurs de billard; bandes de billard; Supports pour arbres de Noël; Arbres de Noël en matières synthétiques; confettis; revêtements de skis; sacs de cricket; arêtes</w:t>
      </w:r>
      <w:r>
        <w:rPr>
          <w:rFonts w:ascii="Arial" w:hAnsi="Arial"/>
          <w:i/>
          <w:spacing w:val="40"/>
        </w:rPr>
        <w:t xml:space="preserve"> </w:t>
      </w:r>
      <w:r>
        <w:rPr>
          <w:rFonts w:ascii="Arial" w:hAnsi="Arial"/>
          <w:i/>
        </w:rPr>
        <w:t>de skis; manèges</w:t>
      </w:r>
      <w:r>
        <w:rPr>
          <w:rFonts w:ascii="Arial" w:hAnsi="Arial"/>
          <w:i/>
          <w:spacing w:val="40"/>
        </w:rPr>
        <w:t xml:space="preserve"> </w:t>
      </w:r>
      <w:r>
        <w:rPr>
          <w:rFonts w:ascii="Arial" w:hAnsi="Arial"/>
          <w:i/>
        </w:rPr>
        <w:t>forains; sacs pour crosses de golf, avec ou sans roulettes; dévidoirs pour cerfs-volants; mâts pour planches à voile; rembourrages de protection pour parties d’habillement de sport interrogé; Racloirs pour skis; revêtements de peaux de phoques pour skis prescrire;</w:t>
      </w:r>
      <w:r>
        <w:rPr>
          <w:rFonts w:ascii="Arial" w:hAnsi="Arial"/>
          <w:i/>
          <w:spacing w:val="-10"/>
        </w:rPr>
        <w:t xml:space="preserve"> </w:t>
      </w:r>
      <w:r>
        <w:rPr>
          <w:rFonts w:ascii="Arial" w:hAnsi="Arial"/>
          <w:i/>
        </w:rPr>
        <w:t>fixations de skis;</w:t>
      </w:r>
      <w:r>
        <w:rPr>
          <w:rFonts w:ascii="Arial" w:hAnsi="Arial"/>
          <w:i/>
          <w:spacing w:val="-10"/>
        </w:rPr>
        <w:t xml:space="preserve"> </w:t>
      </w:r>
      <w:r>
        <w:rPr>
          <w:rFonts w:ascii="Arial" w:hAnsi="Arial"/>
          <w:i/>
        </w:rPr>
        <w:t>fart;</w:t>
      </w:r>
      <w:r>
        <w:rPr>
          <w:rFonts w:ascii="Arial" w:hAnsi="Arial"/>
          <w:i/>
          <w:spacing w:val="-10"/>
        </w:rPr>
        <w:t xml:space="preserve"> </w:t>
      </w:r>
      <w:r>
        <w:rPr>
          <w:rFonts w:ascii="Arial" w:hAnsi="Arial"/>
          <w:i/>
        </w:rPr>
        <w:t>sangles pour planches de surf.</w:t>
      </w:r>
    </w:p>
    <w:p w14:paraId="2107677F" w14:textId="77777777" w:rsidR="00E32F98" w:rsidRDefault="00E32F98">
      <w:pPr>
        <w:pStyle w:val="Corpsdetexte"/>
        <w:spacing w:before="5"/>
        <w:rPr>
          <w:rFonts w:ascii="Arial"/>
          <w:i/>
        </w:rPr>
      </w:pPr>
    </w:p>
    <w:p w14:paraId="341A256A" w14:textId="77777777" w:rsidR="00E32F98" w:rsidRDefault="00000000">
      <w:pPr>
        <w:pStyle w:val="Corpsdetexte"/>
        <w:ind w:left="166"/>
        <w:jc w:val="both"/>
      </w:pPr>
      <w:r>
        <w:t>Les</w:t>
      </w:r>
      <w:r>
        <w:rPr>
          <w:spacing w:val="1"/>
        </w:rPr>
        <w:t xml:space="preserve"> </w:t>
      </w:r>
      <w:r>
        <w:t>produits</w:t>
      </w:r>
      <w:r>
        <w:rPr>
          <w:spacing w:val="2"/>
        </w:rPr>
        <w:t xml:space="preserve"> </w:t>
      </w:r>
      <w:r>
        <w:t>contestés</w:t>
      </w:r>
      <w:r>
        <w:rPr>
          <w:spacing w:val="-13"/>
        </w:rPr>
        <w:t xml:space="preserve"> </w:t>
      </w:r>
      <w:r>
        <w:t>sont</w:t>
      </w:r>
      <w:r>
        <w:rPr>
          <w:spacing w:val="-8"/>
        </w:rPr>
        <w:t xml:space="preserve"> </w:t>
      </w:r>
      <w:r>
        <w:t>les</w:t>
      </w:r>
      <w:r>
        <w:rPr>
          <w:spacing w:val="2"/>
        </w:rPr>
        <w:t xml:space="preserve"> </w:t>
      </w:r>
      <w:r>
        <w:rPr>
          <w:spacing w:val="-2"/>
        </w:rPr>
        <w:t>suivants:</w:t>
      </w:r>
    </w:p>
    <w:p w14:paraId="6A1A28C6" w14:textId="77777777" w:rsidR="00E32F98" w:rsidRDefault="00E32F98">
      <w:pPr>
        <w:pStyle w:val="Corpsdetexte"/>
        <w:spacing w:before="5"/>
      </w:pPr>
    </w:p>
    <w:p w14:paraId="089B28E5" w14:textId="77777777" w:rsidR="00E32F98" w:rsidRDefault="00000000">
      <w:pPr>
        <w:spacing w:line="242" w:lineRule="auto"/>
        <w:ind w:left="166" w:right="158"/>
        <w:jc w:val="both"/>
        <w:rPr>
          <w:rFonts w:ascii="Arial" w:hAnsi="Arial"/>
          <w:i/>
        </w:rPr>
      </w:pPr>
      <w:r>
        <w:t>Classe 18:</w:t>
      </w:r>
      <w:r>
        <w:rPr>
          <w:spacing w:val="40"/>
        </w:rPr>
        <w:t xml:space="preserve"> </w:t>
      </w:r>
      <w:r>
        <w:rPr>
          <w:rFonts w:ascii="Arial" w:hAnsi="Arial"/>
          <w:i/>
        </w:rPr>
        <w:t>Sacs; sacs</w:t>
      </w:r>
      <w:r>
        <w:rPr>
          <w:rFonts w:ascii="Arial" w:hAnsi="Arial"/>
          <w:i/>
          <w:spacing w:val="40"/>
        </w:rPr>
        <w:t xml:space="preserve"> </w:t>
      </w:r>
      <w:r>
        <w:rPr>
          <w:rFonts w:ascii="Arial" w:hAnsi="Arial"/>
          <w:i/>
        </w:rPr>
        <w:t>de sport; sacs</w:t>
      </w:r>
      <w:r>
        <w:rPr>
          <w:rFonts w:ascii="Arial" w:hAnsi="Arial"/>
          <w:i/>
          <w:spacing w:val="40"/>
        </w:rPr>
        <w:t xml:space="preserve"> </w:t>
      </w:r>
      <w:r>
        <w:rPr>
          <w:rFonts w:ascii="Arial" w:hAnsi="Arial"/>
          <w:i/>
        </w:rPr>
        <w:t>en kit; sacs à dos; sacs à roulettes; trousses de toilette; portefeuilles;</w:t>
      </w:r>
      <w:r>
        <w:rPr>
          <w:rFonts w:ascii="Arial" w:hAnsi="Arial"/>
          <w:i/>
          <w:spacing w:val="40"/>
        </w:rPr>
        <w:t xml:space="preserve"> </w:t>
      </w:r>
      <w:r>
        <w:rPr>
          <w:rFonts w:ascii="Arial" w:hAnsi="Arial"/>
          <w:i/>
        </w:rPr>
        <w:t>étuis pour clés;</w:t>
      </w:r>
      <w:r>
        <w:rPr>
          <w:rFonts w:ascii="Arial" w:hAnsi="Arial"/>
          <w:i/>
          <w:spacing w:val="-7"/>
        </w:rPr>
        <w:t xml:space="preserve"> </w:t>
      </w:r>
      <w:r>
        <w:rPr>
          <w:rFonts w:ascii="Arial" w:hAnsi="Arial"/>
          <w:i/>
        </w:rPr>
        <w:t>parapluies.</w:t>
      </w:r>
    </w:p>
    <w:p w14:paraId="437CA16C" w14:textId="77777777" w:rsidR="00E32F98" w:rsidRDefault="00E32F98">
      <w:pPr>
        <w:pStyle w:val="Corpsdetexte"/>
        <w:spacing w:before="17"/>
        <w:rPr>
          <w:rFonts w:ascii="Arial"/>
          <w:i/>
        </w:rPr>
      </w:pPr>
    </w:p>
    <w:p w14:paraId="1F4989F9" w14:textId="77777777" w:rsidR="00E32F98" w:rsidRDefault="00000000">
      <w:pPr>
        <w:ind w:left="166" w:right="157"/>
        <w:jc w:val="both"/>
        <w:rPr>
          <w:rFonts w:ascii="Arial" w:hAnsi="Arial"/>
          <w:i/>
        </w:rPr>
      </w:pPr>
      <w:r>
        <w:t xml:space="preserve">Classe 28: </w:t>
      </w:r>
      <w:r>
        <w:rPr>
          <w:rFonts w:ascii="Arial" w:hAnsi="Arial"/>
          <w:i/>
        </w:rPr>
        <w:t>Articles et équipements de sport; étuis conçus pour les articles de sport; étuis, sacs à dos et sacs adaptés pour transporter des skis et des snowboards; sacs pour skis; sacs à roulettes pour skis et planches à neige; rembourrages de protection pour le sport; rembourrages</w:t>
      </w:r>
      <w:r>
        <w:rPr>
          <w:rFonts w:ascii="Arial" w:hAnsi="Arial"/>
          <w:i/>
          <w:spacing w:val="19"/>
        </w:rPr>
        <w:t xml:space="preserve"> </w:t>
      </w:r>
      <w:r>
        <w:rPr>
          <w:rFonts w:ascii="Arial" w:hAnsi="Arial"/>
          <w:i/>
        </w:rPr>
        <w:t>de protection pour le ski et la planche à</w:t>
      </w:r>
      <w:r>
        <w:rPr>
          <w:rFonts w:ascii="Arial" w:hAnsi="Arial"/>
          <w:i/>
          <w:spacing w:val="-8"/>
        </w:rPr>
        <w:t xml:space="preserve"> </w:t>
      </w:r>
      <w:r>
        <w:rPr>
          <w:rFonts w:ascii="Arial" w:hAnsi="Arial"/>
          <w:i/>
        </w:rPr>
        <w:t>neige;</w:t>
      </w:r>
      <w:r>
        <w:rPr>
          <w:rFonts w:ascii="Arial" w:hAnsi="Arial"/>
          <w:i/>
          <w:spacing w:val="-5"/>
        </w:rPr>
        <w:t xml:space="preserve"> </w:t>
      </w:r>
      <w:r>
        <w:rPr>
          <w:rFonts w:ascii="Arial" w:hAnsi="Arial"/>
          <w:i/>
        </w:rPr>
        <w:t>protection</w:t>
      </w:r>
      <w:r>
        <w:rPr>
          <w:rFonts w:ascii="Arial" w:hAnsi="Arial"/>
          <w:i/>
          <w:spacing w:val="-8"/>
        </w:rPr>
        <w:t xml:space="preserve"> </w:t>
      </w:r>
      <w:r>
        <w:rPr>
          <w:rFonts w:ascii="Arial" w:hAnsi="Arial"/>
          <w:i/>
        </w:rPr>
        <w:t>arrière</w:t>
      </w:r>
      <w:r>
        <w:rPr>
          <w:rFonts w:ascii="Arial" w:hAnsi="Arial"/>
          <w:i/>
          <w:spacing w:val="-8"/>
        </w:rPr>
        <w:t xml:space="preserve"> </w:t>
      </w:r>
      <w:r>
        <w:rPr>
          <w:rFonts w:ascii="Arial" w:hAnsi="Arial"/>
          <w:i/>
        </w:rPr>
        <w:t>pour</w:t>
      </w:r>
      <w:r>
        <w:rPr>
          <w:rFonts w:ascii="Arial" w:hAnsi="Arial"/>
          <w:i/>
          <w:spacing w:val="-3"/>
        </w:rPr>
        <w:t xml:space="preserve"> </w:t>
      </w:r>
      <w:r>
        <w:rPr>
          <w:rFonts w:ascii="Arial" w:hAnsi="Arial"/>
          <w:i/>
        </w:rPr>
        <w:t>le</w:t>
      </w:r>
      <w:r>
        <w:rPr>
          <w:rFonts w:ascii="Arial" w:hAnsi="Arial"/>
          <w:i/>
          <w:spacing w:val="-8"/>
        </w:rPr>
        <w:t xml:space="preserve"> </w:t>
      </w:r>
      <w:r>
        <w:rPr>
          <w:rFonts w:ascii="Arial" w:hAnsi="Arial"/>
          <w:i/>
        </w:rPr>
        <w:t>ski</w:t>
      </w:r>
      <w:r>
        <w:rPr>
          <w:rFonts w:ascii="Arial" w:hAnsi="Arial"/>
          <w:i/>
          <w:spacing w:val="-8"/>
        </w:rPr>
        <w:t xml:space="preserve"> </w:t>
      </w:r>
      <w:r>
        <w:rPr>
          <w:rFonts w:ascii="Arial" w:hAnsi="Arial"/>
          <w:i/>
        </w:rPr>
        <w:t>et la planche à neige; genouillères protecteurs d’articles de sport survient; coudières pour articles de sport survient;</w:t>
      </w:r>
      <w:r>
        <w:rPr>
          <w:rFonts w:ascii="Arial" w:hAnsi="Arial"/>
          <w:i/>
          <w:spacing w:val="-10"/>
        </w:rPr>
        <w:t xml:space="preserve"> </w:t>
      </w:r>
      <w:r>
        <w:rPr>
          <w:rFonts w:ascii="Arial" w:hAnsi="Arial"/>
          <w:i/>
        </w:rPr>
        <w:t>skis;</w:t>
      </w:r>
      <w:r>
        <w:rPr>
          <w:rFonts w:ascii="Arial" w:hAnsi="Arial"/>
          <w:i/>
          <w:spacing w:val="-10"/>
        </w:rPr>
        <w:t xml:space="preserve"> </w:t>
      </w:r>
      <w:r>
        <w:rPr>
          <w:rFonts w:ascii="Arial" w:hAnsi="Arial"/>
          <w:i/>
        </w:rPr>
        <w:t>bâtons de ski;</w:t>
      </w:r>
      <w:r>
        <w:rPr>
          <w:rFonts w:ascii="Arial" w:hAnsi="Arial"/>
          <w:i/>
          <w:spacing w:val="-10"/>
        </w:rPr>
        <w:t xml:space="preserve"> </w:t>
      </w:r>
      <w:r>
        <w:rPr>
          <w:rFonts w:ascii="Arial" w:hAnsi="Arial"/>
          <w:i/>
        </w:rPr>
        <w:t>planches à neige; planches à roulettes.</w:t>
      </w:r>
    </w:p>
    <w:p w14:paraId="633ED1D9" w14:textId="77777777" w:rsidR="00E32F98" w:rsidRDefault="00E32F98">
      <w:pPr>
        <w:pStyle w:val="Corpsdetexte"/>
        <w:spacing w:before="17"/>
        <w:rPr>
          <w:rFonts w:ascii="Arial"/>
          <w:i/>
        </w:rPr>
      </w:pPr>
    </w:p>
    <w:p w14:paraId="7C055B1A" w14:textId="77777777" w:rsidR="00E32F98" w:rsidRDefault="00000000">
      <w:pPr>
        <w:pStyle w:val="Corpsdetexte"/>
        <w:spacing w:line="237" w:lineRule="auto"/>
        <w:ind w:left="166" w:right="152"/>
        <w:jc w:val="both"/>
      </w:pPr>
      <w:r>
        <w:t>Pour des raisons d’économie de procédure, la division d’annulation ne procédera pas à</w:t>
      </w:r>
      <w:r>
        <w:rPr>
          <w:spacing w:val="-10"/>
        </w:rPr>
        <w:t xml:space="preserve"> </w:t>
      </w:r>
      <w:r>
        <w:t>une comparaison complète des produits énumérés ci-dessus. L’examen de la demande sera effectué comme si tous les produits contestés compris dans les classes 18 et 28 étaient identiques à ceux de la marque antérieure qui, pour la demanderesse, est la meilleure lumière sur laquelle la demande en nullité</w:t>
      </w:r>
      <w:r>
        <w:rPr>
          <w:spacing w:val="38"/>
        </w:rPr>
        <w:t xml:space="preserve"> </w:t>
      </w:r>
      <w:r>
        <w:t>peut être examinée.</w:t>
      </w:r>
    </w:p>
    <w:p w14:paraId="7484FC83" w14:textId="77777777" w:rsidR="00E32F98" w:rsidRDefault="00E32F98">
      <w:pPr>
        <w:pStyle w:val="Corpsdetexte"/>
        <w:spacing w:line="237" w:lineRule="auto"/>
        <w:jc w:val="both"/>
        <w:sectPr w:rsidR="00E32F98">
          <w:pgSz w:w="11910" w:h="16850"/>
          <w:pgMar w:top="1000" w:right="1275" w:bottom="280" w:left="1275" w:header="727" w:footer="0" w:gutter="0"/>
          <w:cols w:space="720"/>
        </w:sectPr>
      </w:pPr>
    </w:p>
    <w:p w14:paraId="2CD82866" w14:textId="77777777" w:rsidR="00E32F98" w:rsidRDefault="00000000">
      <w:pPr>
        <w:pStyle w:val="Corpsdetexte"/>
        <w:spacing w:before="186"/>
      </w:pPr>
      <w:r>
        <w:rPr>
          <w:noProof/>
        </w:rPr>
        <w:lastRenderedPageBreak/>
        <mc:AlternateContent>
          <mc:Choice Requires="wps">
            <w:drawing>
              <wp:anchor distT="0" distB="0" distL="0" distR="0" simplePos="0" relativeHeight="15742464" behindDoc="0" locked="0" layoutInCell="1" allowOverlap="1" wp14:anchorId="4E7F4123" wp14:editId="02F2ABBE">
                <wp:simplePos x="0" y="0"/>
                <wp:positionH relativeFrom="page">
                  <wp:posOffset>270575</wp:posOffset>
                </wp:positionH>
                <wp:positionV relativeFrom="page">
                  <wp:posOffset>1118555</wp:posOffset>
                </wp:positionV>
                <wp:extent cx="146050" cy="921004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04B1A8D6"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42464" type="#_x0000_t202" id="docshape62"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7B929FCD" w14:textId="77777777" w:rsidR="00E32F98" w:rsidRDefault="00000000">
      <w:pPr>
        <w:pStyle w:val="Titre2"/>
        <w:numPr>
          <w:ilvl w:val="0"/>
          <w:numId w:val="2"/>
        </w:numPr>
        <w:tabs>
          <w:tab w:val="left" w:pos="434"/>
        </w:tabs>
        <w:ind w:left="434" w:hanging="268"/>
      </w:pPr>
      <w:r>
        <w:t>Public</w:t>
      </w:r>
      <w:r>
        <w:rPr>
          <w:spacing w:val="8"/>
        </w:rPr>
        <w:t xml:space="preserve"> </w:t>
      </w:r>
      <w:r>
        <w:t>pertinent</w:t>
      </w:r>
      <w:r>
        <w:rPr>
          <w:spacing w:val="-1"/>
        </w:rPr>
        <w:t xml:space="preserve"> </w:t>
      </w:r>
      <w:r>
        <w:t>—</w:t>
      </w:r>
      <w:r>
        <w:rPr>
          <w:spacing w:val="-5"/>
        </w:rPr>
        <w:t xml:space="preserve"> </w:t>
      </w:r>
      <w:r>
        <w:t>niveau</w:t>
      </w:r>
      <w:r>
        <w:rPr>
          <w:spacing w:val="-7"/>
        </w:rPr>
        <w:t xml:space="preserve"> </w:t>
      </w:r>
      <w:r>
        <w:rPr>
          <w:spacing w:val="-2"/>
        </w:rPr>
        <w:t>d’attention</w:t>
      </w:r>
    </w:p>
    <w:p w14:paraId="43097801" w14:textId="77777777" w:rsidR="00E32F98" w:rsidRDefault="00E32F98">
      <w:pPr>
        <w:pStyle w:val="Corpsdetexte"/>
        <w:spacing w:before="6"/>
        <w:rPr>
          <w:rFonts w:ascii="Arial"/>
          <w:b/>
        </w:rPr>
      </w:pPr>
    </w:p>
    <w:p w14:paraId="5D4D9401" w14:textId="77777777" w:rsidR="00E32F98" w:rsidRDefault="00000000">
      <w:pPr>
        <w:pStyle w:val="Corpsdetexte"/>
        <w:spacing w:line="237" w:lineRule="auto"/>
        <w:ind w:left="166" w:right="160"/>
        <w:jc w:val="both"/>
      </w:pPr>
      <w:r>
        <w:t>Le</w:t>
      </w:r>
      <w:r>
        <w:rPr>
          <w:spacing w:val="-12"/>
        </w:rPr>
        <w:t xml:space="preserve"> </w:t>
      </w:r>
      <w:r>
        <w:t>consommateur</w:t>
      </w:r>
      <w:r>
        <w:rPr>
          <w:spacing w:val="-15"/>
        </w:rPr>
        <w:t xml:space="preserve"> </w:t>
      </w:r>
      <w:r>
        <w:t>moyen</w:t>
      </w:r>
      <w:r>
        <w:rPr>
          <w:spacing w:val="-4"/>
        </w:rPr>
        <w:t xml:space="preserve"> </w:t>
      </w:r>
      <w:r>
        <w:t>de</w:t>
      </w:r>
      <w:r>
        <w:rPr>
          <w:spacing w:val="-4"/>
        </w:rPr>
        <w:t xml:space="preserve"> </w:t>
      </w:r>
      <w:r>
        <w:t>la catégorie</w:t>
      </w:r>
      <w:r>
        <w:rPr>
          <w:spacing w:val="-4"/>
        </w:rPr>
        <w:t xml:space="preserve"> </w:t>
      </w:r>
      <w:r>
        <w:t>de</w:t>
      </w:r>
      <w:r>
        <w:rPr>
          <w:spacing w:val="-4"/>
        </w:rPr>
        <w:t xml:space="preserve"> </w:t>
      </w:r>
      <w:r>
        <w:t>produits</w:t>
      </w:r>
      <w:r>
        <w:rPr>
          <w:spacing w:val="25"/>
        </w:rPr>
        <w:t xml:space="preserve"> </w:t>
      </w:r>
      <w:r>
        <w:t>concernée</w:t>
      </w:r>
      <w:r>
        <w:rPr>
          <w:spacing w:val="-16"/>
        </w:rPr>
        <w:t xml:space="preserve"> </w:t>
      </w:r>
      <w:r>
        <w:t>est censé</w:t>
      </w:r>
      <w:r>
        <w:rPr>
          <w:spacing w:val="-16"/>
        </w:rPr>
        <w:t xml:space="preserve"> </w:t>
      </w:r>
      <w:r>
        <w:t>être normalement informé et raisonnablement attentif et avisé. Il convient également de prendre en considération le fait que le niveau d’attention du consommateur moyen est susceptible de varier en fonction de la catégorie de produits</w:t>
      </w:r>
      <w:r>
        <w:rPr>
          <w:spacing w:val="34"/>
        </w:rPr>
        <w:t xml:space="preserve"> </w:t>
      </w:r>
      <w:r>
        <w:t>ou de services en cause.</w:t>
      </w:r>
    </w:p>
    <w:p w14:paraId="0433DBCF" w14:textId="77777777" w:rsidR="00E32F98" w:rsidRDefault="00E32F98">
      <w:pPr>
        <w:pStyle w:val="Corpsdetexte"/>
        <w:spacing w:before="4"/>
      </w:pPr>
    </w:p>
    <w:p w14:paraId="548447D3" w14:textId="77777777" w:rsidR="00E32F98" w:rsidRDefault="00000000">
      <w:pPr>
        <w:pStyle w:val="Corpsdetexte"/>
        <w:spacing w:before="1" w:line="242" w:lineRule="auto"/>
        <w:ind w:left="166" w:right="145"/>
        <w:jc w:val="both"/>
      </w:pPr>
      <w:r>
        <w:t>En l’espèce, les produits jugés identiques s’adressent au grand public ou à des clients professionnels possédant une expertise ou des connaissances professionnelles spécifiques dans</w:t>
      </w:r>
      <w:r>
        <w:rPr>
          <w:spacing w:val="40"/>
        </w:rPr>
        <w:t xml:space="preserve"> </w:t>
      </w:r>
      <w:r>
        <w:t>les</w:t>
      </w:r>
      <w:r>
        <w:rPr>
          <w:spacing w:val="40"/>
        </w:rPr>
        <w:t xml:space="preserve"> </w:t>
      </w:r>
      <w:r>
        <w:t>domaines</w:t>
      </w:r>
      <w:r>
        <w:rPr>
          <w:spacing w:val="40"/>
        </w:rPr>
        <w:t xml:space="preserve"> </w:t>
      </w:r>
      <w:r>
        <w:t>respectifs. Le niveau d’attention peut varier de moyen à élevé, en fonction</w:t>
      </w:r>
      <w:r>
        <w:rPr>
          <w:spacing w:val="-1"/>
        </w:rPr>
        <w:t xml:space="preserve"> </w:t>
      </w:r>
      <w:r>
        <w:t>du prix, de</w:t>
      </w:r>
      <w:r>
        <w:rPr>
          <w:spacing w:val="-1"/>
        </w:rPr>
        <w:t xml:space="preserve"> </w:t>
      </w:r>
      <w:r>
        <w:t>la nature</w:t>
      </w:r>
      <w:r>
        <w:rPr>
          <w:spacing w:val="-1"/>
        </w:rPr>
        <w:t xml:space="preserve"> </w:t>
      </w:r>
      <w:r>
        <w:t>spécialisée</w:t>
      </w:r>
      <w:r>
        <w:rPr>
          <w:spacing w:val="-1"/>
        </w:rPr>
        <w:t xml:space="preserve"> </w:t>
      </w:r>
      <w:r>
        <w:t>ou</w:t>
      </w:r>
      <w:r>
        <w:rPr>
          <w:spacing w:val="-1"/>
        </w:rPr>
        <w:t xml:space="preserve"> </w:t>
      </w:r>
      <w:r>
        <w:t>des conditions générales des</w:t>
      </w:r>
      <w:r>
        <w:rPr>
          <w:spacing w:val="-4"/>
        </w:rPr>
        <w:t xml:space="preserve"> </w:t>
      </w:r>
      <w:r>
        <w:t>produits achetés.</w:t>
      </w:r>
    </w:p>
    <w:p w14:paraId="71C44942" w14:textId="77777777" w:rsidR="00E32F98" w:rsidRDefault="00000000">
      <w:pPr>
        <w:pStyle w:val="Titre2"/>
        <w:numPr>
          <w:ilvl w:val="0"/>
          <w:numId w:val="2"/>
        </w:numPr>
        <w:tabs>
          <w:tab w:val="left" w:pos="419"/>
        </w:tabs>
        <w:spacing w:before="239"/>
        <w:ind w:left="419" w:hanging="253"/>
      </w:pPr>
      <w:r>
        <w:t>Les</w:t>
      </w:r>
      <w:r>
        <w:rPr>
          <w:spacing w:val="-9"/>
        </w:rPr>
        <w:t xml:space="preserve"> </w:t>
      </w:r>
      <w:r>
        <w:rPr>
          <w:spacing w:val="-2"/>
        </w:rPr>
        <w:t>signes</w:t>
      </w:r>
    </w:p>
    <w:p w14:paraId="123B607E" w14:textId="77777777" w:rsidR="00E32F98" w:rsidRDefault="00E32F98">
      <w:pPr>
        <w:pStyle w:val="Corpsdetexte"/>
        <w:spacing w:before="23"/>
        <w:rPr>
          <w:rFonts w:ascii="Arial"/>
          <w:b/>
          <w:sz w:val="20"/>
        </w:rPr>
      </w:pPr>
    </w:p>
    <w:tbl>
      <w:tblPr>
        <w:tblStyle w:val="TableNormal"/>
        <w:tblW w:w="0" w:type="auto"/>
        <w:tblInd w:w="279" w:type="dxa"/>
        <w:tblLayout w:type="fixed"/>
        <w:tblLook w:val="01E0" w:firstRow="1" w:lastRow="1" w:firstColumn="1" w:lastColumn="1" w:noHBand="0" w:noVBand="0"/>
      </w:tblPr>
      <w:tblGrid>
        <w:gridCol w:w="4604"/>
        <w:gridCol w:w="4377"/>
      </w:tblGrid>
      <w:tr w:rsidR="00E32F98" w14:paraId="4328A2D0" w14:textId="77777777">
        <w:trPr>
          <w:trHeight w:val="623"/>
        </w:trPr>
        <w:tc>
          <w:tcPr>
            <w:tcW w:w="4604" w:type="dxa"/>
            <w:tcBorders>
              <w:bottom w:val="dotted" w:sz="6" w:space="0" w:color="000000"/>
            </w:tcBorders>
          </w:tcPr>
          <w:p w14:paraId="0AF16A77" w14:textId="77777777" w:rsidR="00E32F98" w:rsidRDefault="00E32F98">
            <w:pPr>
              <w:pStyle w:val="TableParagraph"/>
              <w:spacing w:before="66"/>
              <w:rPr>
                <w:rFonts w:ascii="Arial"/>
                <w:b/>
              </w:rPr>
            </w:pPr>
          </w:p>
          <w:p w14:paraId="6A8DFC8B" w14:textId="77777777" w:rsidR="00E32F98" w:rsidRDefault="00000000">
            <w:pPr>
              <w:pStyle w:val="TableParagraph"/>
              <w:ind w:right="56"/>
              <w:jc w:val="center"/>
            </w:pPr>
            <w:r>
              <w:rPr>
                <w:spacing w:val="-2"/>
              </w:rPr>
              <w:t>MONCLER</w:t>
            </w:r>
          </w:p>
        </w:tc>
        <w:tc>
          <w:tcPr>
            <w:tcW w:w="4377" w:type="dxa"/>
            <w:tcBorders>
              <w:bottom w:val="dotted" w:sz="6" w:space="0" w:color="000000"/>
            </w:tcBorders>
          </w:tcPr>
          <w:p w14:paraId="641E4BDE" w14:textId="77777777" w:rsidR="00E32F98" w:rsidRDefault="00E32F98">
            <w:pPr>
              <w:pStyle w:val="TableParagraph"/>
              <w:spacing w:before="66"/>
              <w:rPr>
                <w:rFonts w:ascii="Arial"/>
                <w:b/>
              </w:rPr>
            </w:pPr>
          </w:p>
          <w:p w14:paraId="795168A6" w14:textId="77777777" w:rsidR="00E32F98" w:rsidRDefault="00000000">
            <w:pPr>
              <w:pStyle w:val="TableParagraph"/>
              <w:ind w:right="55"/>
              <w:jc w:val="center"/>
            </w:pPr>
            <w:r>
              <w:rPr>
                <w:spacing w:val="-2"/>
              </w:rPr>
              <w:t>MONTEC</w:t>
            </w:r>
          </w:p>
        </w:tc>
      </w:tr>
      <w:tr w:rsidR="00E32F98" w14:paraId="786067D5" w14:textId="77777777">
        <w:trPr>
          <w:trHeight w:val="578"/>
        </w:trPr>
        <w:tc>
          <w:tcPr>
            <w:tcW w:w="4604" w:type="dxa"/>
            <w:tcBorders>
              <w:top w:val="dotted" w:sz="6" w:space="0" w:color="000000"/>
            </w:tcBorders>
          </w:tcPr>
          <w:p w14:paraId="08FADECE" w14:textId="77777777" w:rsidR="00E32F98" w:rsidRDefault="00E32F98">
            <w:pPr>
              <w:pStyle w:val="TableParagraph"/>
              <w:spacing w:before="13"/>
              <w:rPr>
                <w:rFonts w:ascii="Arial"/>
                <w:b/>
              </w:rPr>
            </w:pPr>
          </w:p>
          <w:p w14:paraId="1B424521" w14:textId="77777777" w:rsidR="00E32F98" w:rsidRDefault="00000000">
            <w:pPr>
              <w:pStyle w:val="TableParagraph"/>
              <w:ind w:left="6" w:right="56"/>
              <w:jc w:val="center"/>
            </w:pPr>
            <w:r>
              <w:t>Marque</w:t>
            </w:r>
            <w:r>
              <w:rPr>
                <w:spacing w:val="-4"/>
              </w:rPr>
              <w:t xml:space="preserve"> </w:t>
            </w:r>
            <w:r>
              <w:rPr>
                <w:spacing w:val="-2"/>
              </w:rPr>
              <w:t>antérieure</w:t>
            </w:r>
          </w:p>
        </w:tc>
        <w:tc>
          <w:tcPr>
            <w:tcW w:w="4377" w:type="dxa"/>
            <w:tcBorders>
              <w:top w:val="dotted" w:sz="6" w:space="0" w:color="000000"/>
            </w:tcBorders>
          </w:tcPr>
          <w:p w14:paraId="5862B09E" w14:textId="77777777" w:rsidR="00E32F98" w:rsidRDefault="00E32F98">
            <w:pPr>
              <w:pStyle w:val="TableParagraph"/>
              <w:spacing w:before="13"/>
              <w:rPr>
                <w:rFonts w:ascii="Arial"/>
                <w:b/>
              </w:rPr>
            </w:pPr>
          </w:p>
          <w:p w14:paraId="5D1E8EFD" w14:textId="77777777" w:rsidR="00E32F98" w:rsidRDefault="00000000">
            <w:pPr>
              <w:pStyle w:val="TableParagraph"/>
              <w:ind w:left="22" w:right="55"/>
              <w:jc w:val="center"/>
            </w:pPr>
            <w:r>
              <w:rPr>
                <w:noProof/>
              </w:rPr>
              <mc:AlternateContent>
                <mc:Choice Requires="wps">
                  <w:drawing>
                    <wp:anchor distT="0" distB="0" distL="0" distR="0" simplePos="0" relativeHeight="487191040" behindDoc="1" locked="0" layoutInCell="1" allowOverlap="1" wp14:anchorId="32B34B33" wp14:editId="2358BFB2">
                      <wp:simplePos x="0" y="0"/>
                      <wp:positionH relativeFrom="column">
                        <wp:posOffset>-133952</wp:posOffset>
                      </wp:positionH>
                      <wp:positionV relativeFrom="paragraph">
                        <wp:posOffset>-574575</wp:posOffset>
                      </wp:positionV>
                      <wp:extent cx="9525" cy="77279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772795"/>
                                <a:chOff x="0" y="0"/>
                                <a:chExt cx="9525" cy="772795"/>
                              </a:xfrm>
                            </wpg:grpSpPr>
                            <wps:wsp>
                              <wps:cNvPr id="76" name="Graphic 76"/>
                              <wps:cNvSpPr/>
                              <wps:spPr>
                                <a:xfrm>
                                  <a:off x="4762" y="0"/>
                                  <a:ext cx="1270" cy="772795"/>
                                </a:xfrm>
                                <a:custGeom>
                                  <a:avLst/>
                                  <a:gdLst/>
                                  <a:ahLst/>
                                  <a:cxnLst/>
                                  <a:rect l="l" t="t" r="r" b="b"/>
                                  <a:pathLst>
                                    <a:path h="772795">
                                      <a:moveTo>
                                        <a:pt x="0" y="0"/>
                                      </a:moveTo>
                                      <a:lnTo>
                                        <a:pt x="0" y="381380"/>
                                      </a:lnTo>
                                    </a:path>
                                    <a:path h="772795">
                                      <a:moveTo>
                                        <a:pt x="0" y="409955"/>
                                      </a:moveTo>
                                      <a:lnTo>
                                        <a:pt x="0" y="772286"/>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547475pt;margin-top:-45.242157pt;width:.75pt;height:60.85pt;mso-position-horizontal-relative:column;mso-position-vertical-relative:paragraph;z-index:-16125440" id="docshapegroup63" coordorigin="-211,-905" coordsize="15,1217">
                      <v:shape style="position:absolute;left:-204;top:-905;width:2;height:1217" id="docshape64" coordorigin="-203,-905" coordsize="0,1217" path="m-203,-905l-203,-304m-203,-259l-203,311e" filled="false" stroked="true" strokeweight=".75pt" strokecolor="#000000">
                        <v:path arrowok="t"/>
                        <v:stroke dashstyle="shortdot"/>
                      </v:shape>
                      <w10:wrap type="none"/>
                    </v:group>
                  </w:pict>
                </mc:Fallback>
              </mc:AlternateContent>
            </w:r>
            <w:r>
              <w:t>Signe</w:t>
            </w:r>
            <w:r>
              <w:rPr>
                <w:spacing w:val="1"/>
              </w:rPr>
              <w:t xml:space="preserve"> </w:t>
            </w:r>
            <w:r>
              <w:rPr>
                <w:spacing w:val="-2"/>
              </w:rPr>
              <w:t>contesté</w:t>
            </w:r>
          </w:p>
        </w:tc>
      </w:tr>
    </w:tbl>
    <w:p w14:paraId="257C541C" w14:textId="77777777" w:rsidR="00E32F98" w:rsidRDefault="00E32F98">
      <w:pPr>
        <w:pStyle w:val="Corpsdetexte"/>
        <w:spacing w:before="6"/>
        <w:rPr>
          <w:rFonts w:ascii="Arial"/>
          <w:b/>
        </w:rPr>
      </w:pPr>
    </w:p>
    <w:p w14:paraId="2DB38838" w14:textId="77777777" w:rsidR="00E32F98" w:rsidRDefault="00000000">
      <w:pPr>
        <w:pStyle w:val="Corpsdetexte"/>
        <w:ind w:left="166"/>
        <w:jc w:val="both"/>
      </w:pPr>
      <w:r>
        <w:t>Le</w:t>
      </w:r>
      <w:r>
        <w:rPr>
          <w:spacing w:val="-16"/>
        </w:rPr>
        <w:t xml:space="preserve"> </w:t>
      </w:r>
      <w:r>
        <w:t>territoire</w:t>
      </w:r>
      <w:r>
        <w:rPr>
          <w:spacing w:val="-4"/>
        </w:rPr>
        <w:t xml:space="preserve"> </w:t>
      </w:r>
      <w:r>
        <w:t>pertinent</w:t>
      </w:r>
      <w:r>
        <w:rPr>
          <w:spacing w:val="-1"/>
        </w:rPr>
        <w:t xml:space="preserve"> </w:t>
      </w:r>
      <w:r>
        <w:t>est</w:t>
      </w:r>
      <w:r>
        <w:rPr>
          <w:spacing w:val="-14"/>
        </w:rPr>
        <w:t xml:space="preserve"> </w:t>
      </w:r>
      <w:r>
        <w:t>l’Union</w:t>
      </w:r>
      <w:r>
        <w:rPr>
          <w:spacing w:val="9"/>
        </w:rPr>
        <w:t xml:space="preserve"> </w:t>
      </w:r>
      <w:r>
        <w:rPr>
          <w:spacing w:val="-2"/>
        </w:rPr>
        <w:t>européenne.</w:t>
      </w:r>
    </w:p>
    <w:p w14:paraId="5B7DA236" w14:textId="77777777" w:rsidR="00E32F98" w:rsidRDefault="00000000">
      <w:pPr>
        <w:pStyle w:val="Corpsdetexte"/>
        <w:spacing w:before="242" w:line="242" w:lineRule="auto"/>
        <w:ind w:left="166" w:right="148"/>
        <w:jc w:val="both"/>
      </w:pPr>
      <w:r>
        <w:t>L’appréciation globale doit, en ce qui concerne la similitude</w:t>
      </w:r>
      <w:r>
        <w:rPr>
          <w:spacing w:val="-12"/>
        </w:rPr>
        <w:t xml:space="preserve"> </w:t>
      </w:r>
      <w:r>
        <w:t>visuelle,</w:t>
      </w:r>
      <w:r>
        <w:rPr>
          <w:spacing w:val="-9"/>
        </w:rPr>
        <w:t xml:space="preserve"> </w:t>
      </w:r>
      <w:r>
        <w:t>auditive</w:t>
      </w:r>
      <w:r>
        <w:rPr>
          <w:spacing w:val="-12"/>
        </w:rPr>
        <w:t xml:space="preserve"> </w:t>
      </w:r>
      <w:r>
        <w:t>ou</w:t>
      </w:r>
      <w:r>
        <w:rPr>
          <w:spacing w:val="-12"/>
        </w:rPr>
        <w:t xml:space="preserve"> </w:t>
      </w:r>
      <w:r>
        <w:t>conceptuelle des marques en cause, être fondée sur l’impression d’ensemble produite en tenant compte des éléments distinctifs et dominants de celles-ci (11/11/1997, C-251/95, Sabèl, EU:C:1997:528, § 23).</w:t>
      </w:r>
    </w:p>
    <w:p w14:paraId="7DC4D199" w14:textId="77777777" w:rsidR="00E32F98" w:rsidRDefault="00E32F98">
      <w:pPr>
        <w:pStyle w:val="Corpsdetexte"/>
        <w:spacing w:before="1"/>
      </w:pPr>
    </w:p>
    <w:p w14:paraId="02A9CE93" w14:textId="77777777" w:rsidR="00E32F98" w:rsidRDefault="00000000">
      <w:pPr>
        <w:pStyle w:val="Corpsdetexte"/>
        <w:ind w:left="166" w:right="153"/>
        <w:jc w:val="both"/>
      </w:pPr>
      <w:r>
        <w:t>Les deux signes sont composés d’un élément verbal et possèdent un caractère distinctif intrinsèque normal. En dépit des allégations des parties à cet égard, lors de l’examen des signes, la division d’annulation considère que les consommateurs n’ont aucune raison de décomposer artificiellement l’un ou l’autre d’entre eux en éléments complexes. En effet, comme la demanderesse l’a sous-entendu, il ne peut être totalement exclu qu’une partie</w:t>
      </w:r>
      <w:r>
        <w:rPr>
          <w:spacing w:val="-8"/>
        </w:rPr>
        <w:t xml:space="preserve"> </w:t>
      </w:r>
      <w:r>
        <w:t>du public puisse reconnaître le concept d’une montagne</w:t>
      </w:r>
      <w:r>
        <w:rPr>
          <w:spacing w:val="-8"/>
        </w:rPr>
        <w:t xml:space="preserve"> </w:t>
      </w:r>
      <w:r>
        <w:t>dans le</w:t>
      </w:r>
      <w:r>
        <w:rPr>
          <w:spacing w:val="-8"/>
        </w:rPr>
        <w:t xml:space="preserve"> </w:t>
      </w:r>
      <w:r>
        <w:t>signe</w:t>
      </w:r>
      <w:r>
        <w:rPr>
          <w:spacing w:val="-8"/>
        </w:rPr>
        <w:t xml:space="preserve"> </w:t>
      </w:r>
      <w:r>
        <w:t>contesté</w:t>
      </w:r>
      <w:r>
        <w:rPr>
          <w:spacing w:val="-8"/>
        </w:rPr>
        <w:t xml:space="preserve"> </w:t>
      </w:r>
      <w:r>
        <w:t>dans la</w:t>
      </w:r>
      <w:r>
        <w:rPr>
          <w:spacing w:val="-8"/>
        </w:rPr>
        <w:t xml:space="preserve"> </w:t>
      </w:r>
      <w:r>
        <w:t>mesure où</w:t>
      </w:r>
      <w:r>
        <w:rPr>
          <w:spacing w:val="25"/>
        </w:rPr>
        <w:t xml:space="preserve"> </w:t>
      </w:r>
      <w:r>
        <w:t>ce</w:t>
      </w:r>
      <w:r>
        <w:rPr>
          <w:spacing w:val="25"/>
        </w:rPr>
        <w:t xml:space="preserve"> </w:t>
      </w:r>
      <w:r>
        <w:t>mot</w:t>
      </w:r>
      <w:r>
        <w:rPr>
          <w:spacing w:val="28"/>
        </w:rPr>
        <w:t xml:space="preserve"> </w:t>
      </w:r>
      <w:r>
        <w:t>y</w:t>
      </w:r>
      <w:r>
        <w:rPr>
          <w:spacing w:val="23"/>
        </w:rPr>
        <w:t xml:space="preserve"> </w:t>
      </w:r>
      <w:r>
        <w:t>figure,</w:t>
      </w:r>
      <w:r>
        <w:rPr>
          <w:spacing w:val="28"/>
        </w:rPr>
        <w:t xml:space="preserve"> </w:t>
      </w:r>
      <w:r>
        <w:t>par</w:t>
      </w:r>
      <w:r>
        <w:rPr>
          <w:spacing w:val="30"/>
        </w:rPr>
        <w:t xml:space="preserve"> </w:t>
      </w:r>
      <w:r>
        <w:t>exemple,</w:t>
      </w:r>
      <w:r>
        <w:rPr>
          <w:spacing w:val="28"/>
        </w:rPr>
        <w:t xml:space="preserve"> </w:t>
      </w:r>
      <w:r>
        <w:t>pour</w:t>
      </w:r>
      <w:r>
        <w:rPr>
          <w:spacing w:val="30"/>
        </w:rPr>
        <w:t xml:space="preserve"> </w:t>
      </w:r>
      <w:r>
        <w:t>les</w:t>
      </w:r>
      <w:r>
        <w:rPr>
          <w:spacing w:val="37"/>
        </w:rPr>
        <w:t xml:space="preserve"> </w:t>
      </w:r>
      <w:r>
        <w:t>consommateurs</w:t>
      </w:r>
      <w:r>
        <w:rPr>
          <w:spacing w:val="37"/>
        </w:rPr>
        <w:t xml:space="preserve"> </w:t>
      </w:r>
      <w:r>
        <w:t>italiens,</w:t>
      </w:r>
      <w:r>
        <w:rPr>
          <w:spacing w:val="12"/>
        </w:rPr>
        <w:t xml:space="preserve"> </w:t>
      </w:r>
      <w:r>
        <w:t>le mot</w:t>
      </w:r>
      <w:r>
        <w:rPr>
          <w:spacing w:val="12"/>
        </w:rPr>
        <w:t xml:space="preserve"> </w:t>
      </w:r>
      <w:r>
        <w:t>à conserver</w:t>
      </w:r>
      <w:r>
        <w:rPr>
          <w:spacing w:val="15"/>
        </w:rPr>
        <w:t xml:space="preserve"> </w:t>
      </w:r>
      <w:r>
        <w:t>est</w:t>
      </w:r>
    </w:p>
    <w:p w14:paraId="476697C5" w14:textId="77777777" w:rsidR="00E32F98" w:rsidRDefault="00000000">
      <w:pPr>
        <w:pStyle w:val="Corpsdetexte"/>
        <w:spacing w:before="1"/>
        <w:ind w:left="166" w:right="151"/>
        <w:jc w:val="both"/>
      </w:pPr>
      <w:r>
        <w:t>«monte».</w:t>
      </w:r>
      <w:r>
        <w:rPr>
          <w:spacing w:val="40"/>
        </w:rPr>
        <w:t xml:space="preserve"> </w:t>
      </w:r>
      <w:r>
        <w:t>Cette référence,</w:t>
      </w:r>
      <w:r>
        <w:rPr>
          <w:spacing w:val="40"/>
        </w:rPr>
        <w:t xml:space="preserve"> </w:t>
      </w:r>
      <w:r>
        <w:t>dans</w:t>
      </w:r>
      <w:r>
        <w:rPr>
          <w:spacing w:val="40"/>
        </w:rPr>
        <w:t xml:space="preserve"> </w:t>
      </w:r>
      <w:r>
        <w:t>la mesure où elle peut faire référence aux produits, présente un caractère allusif et peut présenter un caractère distinctif inférieur à la moyenne pour</w:t>
      </w:r>
      <w:r>
        <w:rPr>
          <w:spacing w:val="35"/>
        </w:rPr>
        <w:t xml:space="preserve"> </w:t>
      </w:r>
      <w:r>
        <w:t>les</w:t>
      </w:r>
      <w:r>
        <w:rPr>
          <w:spacing w:val="40"/>
        </w:rPr>
        <w:t xml:space="preserve"> </w:t>
      </w:r>
      <w:r>
        <w:t>produits</w:t>
      </w:r>
      <w:r>
        <w:rPr>
          <w:spacing w:val="40"/>
        </w:rPr>
        <w:t xml:space="preserve"> </w:t>
      </w:r>
      <w:r>
        <w:t>liés</w:t>
      </w:r>
      <w:r>
        <w:rPr>
          <w:spacing w:val="40"/>
        </w:rPr>
        <w:t xml:space="preserve"> </w:t>
      </w:r>
      <w:r>
        <w:t>aux activités</w:t>
      </w:r>
      <w:r>
        <w:rPr>
          <w:spacing w:val="40"/>
        </w:rPr>
        <w:t xml:space="preserve"> </w:t>
      </w:r>
      <w:r>
        <w:t>de montagne. En revanche, la division d’annulation ne voit pas nécessairement la même</w:t>
      </w:r>
      <w:r>
        <w:rPr>
          <w:spacing w:val="-7"/>
        </w:rPr>
        <w:t xml:space="preserve"> </w:t>
      </w:r>
      <w:r>
        <w:t>connotation</w:t>
      </w:r>
      <w:r>
        <w:rPr>
          <w:spacing w:val="-7"/>
        </w:rPr>
        <w:t xml:space="preserve"> </w:t>
      </w:r>
      <w:r>
        <w:t>possible</w:t>
      </w:r>
      <w:r>
        <w:rPr>
          <w:spacing w:val="-7"/>
        </w:rPr>
        <w:t xml:space="preserve"> </w:t>
      </w:r>
      <w:r>
        <w:t>dans la</w:t>
      </w:r>
      <w:r>
        <w:rPr>
          <w:spacing w:val="-7"/>
        </w:rPr>
        <w:t xml:space="preserve"> </w:t>
      </w:r>
      <w:r>
        <w:t>marque</w:t>
      </w:r>
      <w:r>
        <w:rPr>
          <w:spacing w:val="-7"/>
        </w:rPr>
        <w:t xml:space="preserve"> </w:t>
      </w:r>
      <w:r>
        <w:t>antérieure</w:t>
      </w:r>
      <w:r>
        <w:rPr>
          <w:spacing w:val="-7"/>
        </w:rPr>
        <w:t xml:space="preserve"> </w:t>
      </w:r>
      <w:r>
        <w:t>lorsque</w:t>
      </w:r>
      <w:r>
        <w:rPr>
          <w:spacing w:val="-7"/>
        </w:rPr>
        <w:t xml:space="preserve"> </w:t>
      </w:r>
      <w:r>
        <w:t xml:space="preserve">le mot n’est pas entièrement contenu mais qu’une partie seulement en est représentée. Le requérant fait valoir que la marque antérieure a été inspirée en tant qu’abréviation/jeu de mots de la ville </w:t>
      </w:r>
      <w:r>
        <w:rPr>
          <w:rFonts w:ascii="Arial" w:hAnsi="Arial"/>
          <w:b/>
        </w:rPr>
        <w:t>alpine Monestier-de- Cler</w:t>
      </w:r>
      <w:r>
        <w:t>mont en</w:t>
      </w:r>
      <w:r>
        <w:rPr>
          <w:spacing w:val="-3"/>
        </w:rPr>
        <w:t xml:space="preserve"> </w:t>
      </w:r>
      <w:r>
        <w:t>France. Même</w:t>
      </w:r>
      <w:r>
        <w:rPr>
          <w:spacing w:val="-3"/>
        </w:rPr>
        <w:t xml:space="preserve"> </w:t>
      </w:r>
      <w:r>
        <w:t>si</w:t>
      </w:r>
      <w:r>
        <w:rPr>
          <w:spacing w:val="-3"/>
        </w:rPr>
        <w:t xml:space="preserve"> </w:t>
      </w:r>
      <w:r>
        <w:t>tel</w:t>
      </w:r>
      <w:r>
        <w:rPr>
          <w:spacing w:val="-3"/>
        </w:rPr>
        <w:t xml:space="preserve"> </w:t>
      </w:r>
      <w:r>
        <w:t>était le</w:t>
      </w:r>
      <w:r>
        <w:rPr>
          <w:spacing w:val="-3"/>
        </w:rPr>
        <w:t xml:space="preserve"> </w:t>
      </w:r>
      <w:r>
        <w:t>cas, aucune des</w:t>
      </w:r>
      <w:r>
        <w:rPr>
          <w:spacing w:val="26"/>
        </w:rPr>
        <w:t xml:space="preserve"> </w:t>
      </w:r>
      <w:r>
        <w:t>parties</w:t>
      </w:r>
      <w:r>
        <w:rPr>
          <w:spacing w:val="26"/>
        </w:rPr>
        <w:t xml:space="preserve"> </w:t>
      </w:r>
      <w:r>
        <w:t>n’a produit d’éléments de preuve convaincants démontrant que l’élément verbal</w:t>
      </w:r>
    </w:p>
    <w:p w14:paraId="45D94D84" w14:textId="77777777" w:rsidR="00E32F98" w:rsidRDefault="00000000">
      <w:pPr>
        <w:pStyle w:val="Corpsdetexte"/>
        <w:spacing w:before="5" w:line="237" w:lineRule="auto"/>
        <w:ind w:left="166" w:right="159"/>
        <w:jc w:val="both"/>
      </w:pPr>
      <w:r>
        <w:t>«mon» — à lui seul — est une abréviation de</w:t>
      </w:r>
      <w:r>
        <w:rPr>
          <w:spacing w:val="-7"/>
        </w:rPr>
        <w:t xml:space="preserve"> </w:t>
      </w:r>
      <w:r>
        <w:t>«montagne»</w:t>
      </w:r>
      <w:r>
        <w:rPr>
          <w:spacing w:val="-7"/>
        </w:rPr>
        <w:t xml:space="preserve"> </w:t>
      </w:r>
      <w:r>
        <w:t>ou</w:t>
      </w:r>
      <w:r>
        <w:rPr>
          <w:spacing w:val="-7"/>
        </w:rPr>
        <w:t xml:space="preserve"> </w:t>
      </w:r>
      <w:r>
        <w:t>qu’il</w:t>
      </w:r>
      <w:r>
        <w:rPr>
          <w:spacing w:val="-7"/>
        </w:rPr>
        <w:t xml:space="preserve"> </w:t>
      </w:r>
      <w:r>
        <w:t>sera</w:t>
      </w:r>
      <w:r>
        <w:rPr>
          <w:spacing w:val="-7"/>
        </w:rPr>
        <w:t xml:space="preserve"> </w:t>
      </w:r>
      <w:r>
        <w:t>associé</w:t>
      </w:r>
      <w:r>
        <w:rPr>
          <w:spacing w:val="-7"/>
        </w:rPr>
        <w:t xml:space="preserve"> </w:t>
      </w:r>
      <w:r>
        <w:t>directement à celui-ci, de la même manière que l’élément «mont» qui peut avoir une signification pour une partie du public de l’Union européenne. Par conséquent, en l’absence de preuve du contraire, la division d’annulation considère que la majorité des consommateurs ne décomposera</w:t>
      </w:r>
      <w:r>
        <w:rPr>
          <w:spacing w:val="-9"/>
        </w:rPr>
        <w:t xml:space="preserve"> </w:t>
      </w:r>
      <w:r>
        <w:t>pas les marques et les percevra comme</w:t>
      </w:r>
      <w:r>
        <w:rPr>
          <w:spacing w:val="-9"/>
        </w:rPr>
        <w:t xml:space="preserve"> </w:t>
      </w:r>
      <w:r>
        <w:t>des mots inventés/fantaisistes.</w:t>
      </w:r>
    </w:p>
    <w:p w14:paraId="3C7F8F7B" w14:textId="77777777" w:rsidR="00E32F98" w:rsidRDefault="00E32F98">
      <w:pPr>
        <w:pStyle w:val="Corpsdetexte"/>
        <w:spacing w:before="9"/>
      </w:pPr>
    </w:p>
    <w:p w14:paraId="04B022F3" w14:textId="77777777" w:rsidR="00E32F98" w:rsidRDefault="00000000">
      <w:pPr>
        <w:pStyle w:val="Corpsdetexte"/>
        <w:spacing w:line="242" w:lineRule="auto"/>
        <w:ind w:left="166" w:right="156"/>
        <w:jc w:val="both"/>
      </w:pPr>
      <w:r>
        <w:t>Sur les plans</w:t>
      </w:r>
      <w:r>
        <w:rPr>
          <w:rFonts w:ascii="Arial" w:hAnsi="Arial"/>
          <w:b/>
        </w:rPr>
        <w:t xml:space="preserve">visuel </w:t>
      </w:r>
      <w:r>
        <w:t xml:space="preserve">et </w:t>
      </w:r>
      <w:r>
        <w:rPr>
          <w:rFonts w:ascii="Arial" w:hAnsi="Arial"/>
          <w:b/>
        </w:rPr>
        <w:t>phonétique</w:t>
      </w:r>
      <w:r>
        <w:t>, les signes coïncident par la suite</w:t>
      </w:r>
      <w:r>
        <w:rPr>
          <w:spacing w:val="-9"/>
        </w:rPr>
        <w:t xml:space="preserve"> </w:t>
      </w:r>
      <w:r>
        <w:t>de</w:t>
      </w:r>
      <w:r>
        <w:rPr>
          <w:spacing w:val="-9"/>
        </w:rPr>
        <w:t xml:space="preserve"> </w:t>
      </w:r>
      <w:r>
        <w:t>lettres «MON»,</w:t>
      </w:r>
      <w:r>
        <w:rPr>
          <w:spacing w:val="-6"/>
        </w:rPr>
        <w:t xml:space="preserve"> </w:t>
      </w:r>
      <w:r>
        <w:t>qui fait partie des deux signes, à savoir leur début. Ils diffèrent toutefois par les deuxièmes éléments verbaux «CLER»</w:t>
      </w:r>
      <w:r>
        <w:rPr>
          <w:spacing w:val="-15"/>
        </w:rPr>
        <w:t xml:space="preserve"> </w:t>
      </w:r>
      <w:r>
        <w:t>dans la marque antérieure et «TEC» dans le signe contesté.</w:t>
      </w:r>
    </w:p>
    <w:p w14:paraId="74397FC4" w14:textId="77777777" w:rsidR="00E32F98" w:rsidRDefault="00000000">
      <w:pPr>
        <w:pStyle w:val="Corpsdetexte"/>
        <w:spacing w:before="240" w:line="242" w:lineRule="auto"/>
        <w:ind w:left="166" w:right="155"/>
        <w:jc w:val="both"/>
      </w:pPr>
      <w:r>
        <w:t>Si le début des signes peut être déterminant dans certains cas, les conclusions concernant des parties initiales identiques ne sauraient valoir dans tous les cas et conduire à une similitude</w:t>
      </w:r>
      <w:r>
        <w:rPr>
          <w:spacing w:val="80"/>
          <w:w w:val="150"/>
        </w:rPr>
        <w:t xml:space="preserve"> </w:t>
      </w:r>
      <w:r>
        <w:t>globale.</w:t>
      </w:r>
      <w:r>
        <w:rPr>
          <w:spacing w:val="80"/>
          <w:w w:val="150"/>
        </w:rPr>
        <w:t xml:space="preserve"> </w:t>
      </w:r>
      <w:r>
        <w:t>L’alphabetétant</w:t>
      </w:r>
      <w:r>
        <w:rPr>
          <w:spacing w:val="79"/>
          <w:w w:val="150"/>
        </w:rPr>
        <w:t xml:space="preserve"> </w:t>
      </w:r>
      <w:r>
        <w:t>composé</w:t>
      </w:r>
      <w:r>
        <w:rPr>
          <w:spacing w:val="77"/>
          <w:w w:val="150"/>
        </w:rPr>
        <w:t xml:space="preserve"> </w:t>
      </w:r>
      <w:r>
        <w:t>d’un</w:t>
      </w:r>
      <w:r>
        <w:rPr>
          <w:spacing w:val="77"/>
          <w:w w:val="150"/>
        </w:rPr>
        <w:t xml:space="preserve"> </w:t>
      </w:r>
      <w:r>
        <w:t>nombre</w:t>
      </w:r>
      <w:r>
        <w:rPr>
          <w:spacing w:val="77"/>
          <w:w w:val="150"/>
        </w:rPr>
        <w:t xml:space="preserve"> </w:t>
      </w:r>
      <w:r>
        <w:t>limité</w:t>
      </w:r>
      <w:r>
        <w:rPr>
          <w:spacing w:val="77"/>
          <w:w w:val="150"/>
        </w:rPr>
        <w:t xml:space="preserve"> </w:t>
      </w:r>
      <w:r>
        <w:t>de</w:t>
      </w:r>
      <w:r>
        <w:rPr>
          <w:spacing w:val="77"/>
          <w:w w:val="150"/>
        </w:rPr>
        <w:t xml:space="preserve"> </w:t>
      </w:r>
      <w:r>
        <w:t>lettres,</w:t>
      </w:r>
      <w:r>
        <w:rPr>
          <w:spacing w:val="79"/>
          <w:w w:val="150"/>
        </w:rPr>
        <w:t xml:space="preserve"> </w:t>
      </w:r>
      <w:r>
        <w:t>qui,</w:t>
      </w:r>
      <w:r>
        <w:rPr>
          <w:spacing w:val="79"/>
          <w:w w:val="150"/>
        </w:rPr>
        <w:t xml:space="preserve"> </w:t>
      </w:r>
      <w:r>
        <w:t>au</w:t>
      </w:r>
    </w:p>
    <w:p w14:paraId="5CE78AF2" w14:textId="77777777" w:rsidR="00E32F98" w:rsidRDefault="00E32F98">
      <w:pPr>
        <w:pStyle w:val="Corpsdetexte"/>
        <w:spacing w:line="242" w:lineRule="auto"/>
        <w:jc w:val="both"/>
        <w:sectPr w:rsidR="00E32F98">
          <w:pgSz w:w="11910" w:h="16850"/>
          <w:pgMar w:top="1000" w:right="1275" w:bottom="280" w:left="1275" w:header="727" w:footer="0" w:gutter="0"/>
          <w:cols w:space="720"/>
        </w:sectPr>
      </w:pPr>
    </w:p>
    <w:p w14:paraId="39CA52C9" w14:textId="77777777" w:rsidR="00E32F98" w:rsidRDefault="00000000">
      <w:pPr>
        <w:pStyle w:val="Corpsdetexte"/>
        <w:spacing w:before="186"/>
      </w:pPr>
      <w:r>
        <w:rPr>
          <w:noProof/>
        </w:rPr>
        <w:lastRenderedPageBreak/>
        <mc:AlternateContent>
          <mc:Choice Requires="wps">
            <w:drawing>
              <wp:anchor distT="0" distB="0" distL="0" distR="0" simplePos="0" relativeHeight="15742976" behindDoc="0" locked="0" layoutInCell="1" allowOverlap="1" wp14:anchorId="1EBEC3D1" wp14:editId="176AEC97">
                <wp:simplePos x="0" y="0"/>
                <wp:positionH relativeFrom="page">
                  <wp:posOffset>270575</wp:posOffset>
                </wp:positionH>
                <wp:positionV relativeFrom="page">
                  <wp:posOffset>1118555</wp:posOffset>
                </wp:positionV>
                <wp:extent cx="146050" cy="921004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4F5557F0"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42976" type="#_x0000_t202" id="docshape65"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21D6BFF0" w14:textId="77777777" w:rsidR="00E32F98" w:rsidRDefault="00000000">
      <w:pPr>
        <w:pStyle w:val="Corpsdetexte"/>
        <w:ind w:left="166" w:right="145"/>
        <w:jc w:val="both"/>
      </w:pPr>
      <w:r>
        <w:t>demeurant, ne sont pas toutes utilisées avec la même fréquence, il est inévitable que de nombreux mots partagent certains d’entre eux, mais ils ne sauraient, de ce seul fait, être considérés comme similaires sur le plan visuel ou phonétique. En effet, la séquence de lettres coïncidente en l’espèce apparaît dans d’autres éléments verbaux</w:t>
      </w:r>
      <w:r>
        <w:rPr>
          <w:spacing w:val="-1"/>
        </w:rPr>
        <w:t xml:space="preserve"> </w:t>
      </w:r>
      <w:r>
        <w:t>plus</w:t>
      </w:r>
      <w:r>
        <w:rPr>
          <w:spacing w:val="-1"/>
        </w:rPr>
        <w:t xml:space="preserve"> </w:t>
      </w:r>
      <w:r>
        <w:t>longs</w:t>
      </w:r>
      <w:r>
        <w:rPr>
          <w:spacing w:val="-1"/>
        </w:rPr>
        <w:t xml:space="preserve"> </w:t>
      </w:r>
      <w:r>
        <w:t>et</w:t>
      </w:r>
      <w:r>
        <w:rPr>
          <w:spacing w:val="-10"/>
        </w:rPr>
        <w:t xml:space="preserve"> </w:t>
      </w:r>
      <w:r>
        <w:t>il</w:t>
      </w:r>
      <w:r>
        <w:rPr>
          <w:spacing w:val="-13"/>
        </w:rPr>
        <w:t xml:space="preserve"> </w:t>
      </w:r>
      <w:r>
        <w:t>n’y</w:t>
      </w:r>
      <w:r>
        <w:rPr>
          <w:spacing w:val="-14"/>
        </w:rPr>
        <w:t xml:space="preserve"> </w:t>
      </w:r>
      <w:r>
        <w:t>a aucune raison que les consommateurs les distinguent une fois perçue, comme cela a déjà été expliqué ci-dessus. Le fait que les</w:t>
      </w:r>
      <w:r>
        <w:rPr>
          <w:spacing w:val="20"/>
        </w:rPr>
        <w:t xml:space="preserve"> </w:t>
      </w:r>
      <w:r>
        <w:t>éléments qui</w:t>
      </w:r>
      <w:r>
        <w:rPr>
          <w:spacing w:val="-7"/>
        </w:rPr>
        <w:t xml:space="preserve"> </w:t>
      </w:r>
      <w:r>
        <w:t>diffèrent</w:t>
      </w:r>
      <w:r>
        <w:rPr>
          <w:spacing w:val="-4"/>
        </w:rPr>
        <w:t xml:space="preserve"> </w:t>
      </w:r>
      <w:r>
        <w:t>ont</w:t>
      </w:r>
      <w:r>
        <w:rPr>
          <w:spacing w:val="-4"/>
        </w:rPr>
        <w:t xml:space="preserve"> </w:t>
      </w:r>
      <w:r>
        <w:t>en</w:t>
      </w:r>
      <w:r>
        <w:rPr>
          <w:spacing w:val="-7"/>
        </w:rPr>
        <w:t xml:space="preserve"> </w:t>
      </w:r>
      <w:r>
        <w:t>commun</w:t>
      </w:r>
      <w:r>
        <w:rPr>
          <w:spacing w:val="-7"/>
        </w:rPr>
        <w:t xml:space="preserve"> </w:t>
      </w:r>
      <w:r>
        <w:t>les lettres/sons</w:t>
      </w:r>
    </w:p>
    <w:p w14:paraId="468E28A3" w14:textId="77777777" w:rsidR="00E32F98" w:rsidRDefault="00000000">
      <w:pPr>
        <w:pStyle w:val="Corpsdetexte"/>
        <w:ind w:left="166" w:right="151"/>
        <w:jc w:val="both"/>
      </w:pPr>
      <w:r>
        <w:t>«C» et «E» est totalement dénué de pertinence dans la</w:t>
      </w:r>
      <w:r>
        <w:rPr>
          <w:spacing w:val="-7"/>
        </w:rPr>
        <w:t xml:space="preserve"> </w:t>
      </w:r>
      <w:r>
        <w:t>mesure</w:t>
      </w:r>
      <w:r>
        <w:rPr>
          <w:spacing w:val="-7"/>
        </w:rPr>
        <w:t xml:space="preserve"> </w:t>
      </w:r>
      <w:r>
        <w:t>où</w:t>
      </w:r>
      <w:r>
        <w:rPr>
          <w:spacing w:val="-7"/>
        </w:rPr>
        <w:t xml:space="preserve"> </w:t>
      </w:r>
      <w:r>
        <w:t>ils sont</w:t>
      </w:r>
      <w:r>
        <w:rPr>
          <w:spacing w:val="-4"/>
        </w:rPr>
        <w:t xml:space="preserve"> </w:t>
      </w:r>
      <w:r>
        <w:t>utilisés dans des positions différentes et créent des syllabes différentes. Pour le moins, les signes ne présentent aucune caractéristique graphique qui aiderait les consommateurs à distinguer et à décomposer l’élément «MON» dans les deux signes. En général, le public ne sera pas conscient de cette coïncidence mais percevra les signes comme un tout et reposera sur l’impression d’ensemble. Compte tenu des autres parties verbales des signes et dans l’ensemble des signes, ceux-ci sont considérés comme similaires à un faible degré,</w:t>
      </w:r>
      <w:r>
        <w:rPr>
          <w:spacing w:val="-2"/>
        </w:rPr>
        <w:t xml:space="preserve"> </w:t>
      </w:r>
      <w:r>
        <w:t>tant</w:t>
      </w:r>
      <w:r>
        <w:rPr>
          <w:spacing w:val="-2"/>
        </w:rPr>
        <w:t xml:space="preserve"> </w:t>
      </w:r>
      <w:r>
        <w:t>du point de vue visuel que phonétique.</w:t>
      </w:r>
    </w:p>
    <w:p w14:paraId="56B9D5DF" w14:textId="77777777" w:rsidR="00E32F98" w:rsidRDefault="00E32F98">
      <w:pPr>
        <w:pStyle w:val="Corpsdetexte"/>
        <w:spacing w:before="3"/>
      </w:pPr>
    </w:p>
    <w:p w14:paraId="324EB1FE" w14:textId="77777777" w:rsidR="00E32F98" w:rsidRDefault="00000000">
      <w:pPr>
        <w:pStyle w:val="Corpsdetexte"/>
        <w:spacing w:before="1"/>
        <w:ind w:left="166" w:right="147"/>
        <w:jc w:val="both"/>
      </w:pPr>
      <w:r>
        <w:rPr>
          <w:rFonts w:ascii="Arial" w:hAnsi="Arial"/>
          <w:b/>
        </w:rPr>
        <w:t>Sur le plan conceptuel</w:t>
      </w:r>
      <w:r>
        <w:t>, aucun des signes n’a de signification pour la</w:t>
      </w:r>
      <w:r>
        <w:rPr>
          <w:spacing w:val="-8"/>
        </w:rPr>
        <w:t xml:space="preserve"> </w:t>
      </w:r>
      <w:r>
        <w:t>majorité</w:t>
      </w:r>
      <w:r>
        <w:rPr>
          <w:spacing w:val="-8"/>
        </w:rPr>
        <w:t xml:space="preserve"> </w:t>
      </w:r>
      <w:r>
        <w:t>du</w:t>
      </w:r>
      <w:r>
        <w:rPr>
          <w:spacing w:val="-8"/>
        </w:rPr>
        <w:t xml:space="preserve"> </w:t>
      </w:r>
      <w:r>
        <w:t>public du territoire pertinent, comme indiqué ci-dessus. Étant</w:t>
      </w:r>
      <w:r>
        <w:rPr>
          <w:spacing w:val="-4"/>
        </w:rPr>
        <w:t xml:space="preserve"> </w:t>
      </w:r>
      <w:r>
        <w:t>donné</w:t>
      </w:r>
      <w:r>
        <w:rPr>
          <w:spacing w:val="-7"/>
        </w:rPr>
        <w:t xml:space="preserve"> </w:t>
      </w:r>
      <w:r>
        <w:t>qu’une</w:t>
      </w:r>
      <w:r>
        <w:rPr>
          <w:spacing w:val="-7"/>
        </w:rPr>
        <w:t xml:space="preserve"> </w:t>
      </w:r>
      <w:r>
        <w:t>comparaison</w:t>
      </w:r>
      <w:r>
        <w:rPr>
          <w:spacing w:val="-7"/>
        </w:rPr>
        <w:t xml:space="preserve"> </w:t>
      </w:r>
      <w:r>
        <w:t>conceptuelle n’est pas possible, l’aspect conceptuel n’a pas d’incidence sur l’appréciation de</w:t>
      </w:r>
      <w:r>
        <w:rPr>
          <w:spacing w:val="-8"/>
        </w:rPr>
        <w:t xml:space="preserve"> </w:t>
      </w:r>
      <w:r>
        <w:t>la</w:t>
      </w:r>
      <w:r>
        <w:rPr>
          <w:spacing w:val="-8"/>
        </w:rPr>
        <w:t xml:space="preserve"> </w:t>
      </w:r>
      <w:r>
        <w:t>similitude des</w:t>
      </w:r>
      <w:r>
        <w:rPr>
          <w:spacing w:val="40"/>
        </w:rPr>
        <w:t xml:space="preserve"> </w:t>
      </w:r>
      <w:r>
        <w:t>signes. Lorsque le signe contesté peut faire allusion à la signification «MONTE»,</w:t>
      </w:r>
      <w:r>
        <w:rPr>
          <w:spacing w:val="40"/>
        </w:rPr>
        <w:t xml:space="preserve"> </w:t>
      </w:r>
      <w:r>
        <w:t>comme indiqué précédemment, les signes ne sont pas similaires sur le plan conceptuel; toutefois, compte tenu du fait que cela découle d’un élément présentant un caractère plus faible pour</w:t>
      </w:r>
      <w:r>
        <w:rPr>
          <w:spacing w:val="29"/>
        </w:rPr>
        <w:t xml:space="preserve"> </w:t>
      </w:r>
      <w:r>
        <w:t>certains</w:t>
      </w:r>
      <w:r>
        <w:rPr>
          <w:spacing w:val="37"/>
        </w:rPr>
        <w:t xml:space="preserve"> </w:t>
      </w:r>
      <w:r>
        <w:t>des produits/services respectifs, son impact peut en tout état de cause ne pas être aussi important.</w:t>
      </w:r>
    </w:p>
    <w:p w14:paraId="100F18EB" w14:textId="77777777" w:rsidR="00E32F98" w:rsidRDefault="00E32F98">
      <w:pPr>
        <w:pStyle w:val="Corpsdetexte"/>
        <w:spacing w:before="15"/>
      </w:pPr>
    </w:p>
    <w:p w14:paraId="2E3BB954" w14:textId="77777777" w:rsidR="00E32F98" w:rsidRDefault="00000000">
      <w:pPr>
        <w:pStyle w:val="Corpsdetexte"/>
        <w:spacing w:line="228" w:lineRule="auto"/>
        <w:ind w:left="166" w:right="163"/>
        <w:jc w:val="both"/>
      </w:pPr>
      <w:r>
        <w:t>Dans la mesure où les signes ont été jugés similaires au regard d’un aspect de la comparaison</w:t>
      </w:r>
      <w:r>
        <w:rPr>
          <w:spacing w:val="-14"/>
        </w:rPr>
        <w:t xml:space="preserve"> </w:t>
      </w:r>
      <w:r>
        <w:t>au moins, il y a lieu de procéder à l’examen du risque de confusion.</w:t>
      </w:r>
    </w:p>
    <w:p w14:paraId="444189B5" w14:textId="77777777" w:rsidR="00E32F98" w:rsidRDefault="00E32F98">
      <w:pPr>
        <w:pStyle w:val="Corpsdetexte"/>
        <w:spacing w:before="6"/>
      </w:pPr>
    </w:p>
    <w:p w14:paraId="214CB574" w14:textId="77777777" w:rsidR="00E32F98" w:rsidRDefault="00000000">
      <w:pPr>
        <w:pStyle w:val="Titre2"/>
        <w:numPr>
          <w:ilvl w:val="0"/>
          <w:numId w:val="2"/>
        </w:numPr>
        <w:tabs>
          <w:tab w:val="left" w:pos="434"/>
        </w:tabs>
        <w:spacing w:before="1"/>
        <w:ind w:left="434" w:hanging="268"/>
      </w:pPr>
      <w:r>
        <w:t>Caractère</w:t>
      </w:r>
      <w:r>
        <w:rPr>
          <w:spacing w:val="-9"/>
        </w:rPr>
        <w:t xml:space="preserve"> </w:t>
      </w:r>
      <w:r>
        <w:t>distinctif</w:t>
      </w:r>
      <w:r>
        <w:rPr>
          <w:spacing w:val="-17"/>
        </w:rPr>
        <w:t xml:space="preserve"> </w:t>
      </w:r>
      <w:r>
        <w:t>de</w:t>
      </w:r>
      <w:r>
        <w:rPr>
          <w:spacing w:val="-8"/>
        </w:rPr>
        <w:t xml:space="preserve"> </w:t>
      </w:r>
      <w:r>
        <w:t>la</w:t>
      </w:r>
      <w:r>
        <w:rPr>
          <w:spacing w:val="-8"/>
        </w:rPr>
        <w:t xml:space="preserve"> </w:t>
      </w:r>
      <w:r>
        <w:t>marque</w:t>
      </w:r>
      <w:r>
        <w:rPr>
          <w:spacing w:val="22"/>
        </w:rPr>
        <w:t xml:space="preserve"> </w:t>
      </w:r>
      <w:r>
        <w:rPr>
          <w:spacing w:val="-2"/>
        </w:rPr>
        <w:t>antérieure</w:t>
      </w:r>
    </w:p>
    <w:p w14:paraId="16D9EEAC" w14:textId="77777777" w:rsidR="00E32F98" w:rsidRDefault="00E32F98">
      <w:pPr>
        <w:pStyle w:val="Corpsdetexte"/>
        <w:spacing w:before="4"/>
        <w:rPr>
          <w:rFonts w:ascii="Arial"/>
          <w:b/>
        </w:rPr>
      </w:pPr>
    </w:p>
    <w:p w14:paraId="41A5F38F" w14:textId="77777777" w:rsidR="00E32F98" w:rsidRDefault="00000000">
      <w:pPr>
        <w:pStyle w:val="Corpsdetexte"/>
        <w:spacing w:line="242" w:lineRule="auto"/>
        <w:ind w:left="166" w:right="164"/>
        <w:jc w:val="both"/>
      </w:pPr>
      <w:r>
        <w:t>Le caractère distinctif de la marque antérieure est l’un des facteurs qu’il y a lieu de prendre en considération dans l’appréciation globale</w:t>
      </w:r>
      <w:r>
        <w:rPr>
          <w:spacing w:val="40"/>
        </w:rPr>
        <w:t xml:space="preserve"> </w:t>
      </w:r>
      <w:r>
        <w:t>du risque de confusion.</w:t>
      </w:r>
    </w:p>
    <w:p w14:paraId="167D7BD6" w14:textId="77777777" w:rsidR="00E32F98" w:rsidRDefault="00E32F98">
      <w:pPr>
        <w:pStyle w:val="Corpsdetexte"/>
        <w:spacing w:before="2"/>
      </w:pPr>
    </w:p>
    <w:p w14:paraId="67046DC6" w14:textId="77777777" w:rsidR="00E32F98" w:rsidRDefault="00000000">
      <w:pPr>
        <w:pStyle w:val="Corpsdetexte"/>
        <w:ind w:left="166" w:right="148"/>
        <w:jc w:val="both"/>
      </w:pPr>
      <w:r>
        <w:t>Selon la demanderesse, la marque antérieure a fait l’objet d’un usage intensif et bénéficie d’une protection élargie. Toutefois, pour des raisons d’économie</w:t>
      </w:r>
      <w:r>
        <w:rPr>
          <w:spacing w:val="-10"/>
        </w:rPr>
        <w:t xml:space="preserve"> </w:t>
      </w:r>
      <w:r>
        <w:t>de</w:t>
      </w:r>
      <w:r>
        <w:rPr>
          <w:spacing w:val="-10"/>
        </w:rPr>
        <w:t xml:space="preserve"> </w:t>
      </w:r>
      <w:r>
        <w:t>procédure,</w:t>
      </w:r>
      <w:r>
        <w:rPr>
          <w:spacing w:val="-7"/>
        </w:rPr>
        <w:t xml:space="preserve"> </w:t>
      </w:r>
      <w:r>
        <w:t>les éléments de preuve produits par la demanderesse pour prouver cette affirmation ne doivent pas être appréciés</w:t>
      </w:r>
      <w:r>
        <w:rPr>
          <w:spacing w:val="40"/>
        </w:rPr>
        <w:t xml:space="preserve"> </w:t>
      </w:r>
      <w:r>
        <w:t xml:space="preserve">à ce stade (voir ci-après «Appréciation globale»). L’examen sera mené sur la base de l’hypothèse selon laquelle la marque antérieure présente un caractère distinctif </w:t>
      </w:r>
      <w:r>
        <w:rPr>
          <w:spacing w:val="-2"/>
        </w:rPr>
        <w:t>accru;</w:t>
      </w:r>
    </w:p>
    <w:p w14:paraId="2FF42524" w14:textId="77777777" w:rsidR="00E32F98" w:rsidRDefault="00E32F98">
      <w:pPr>
        <w:pStyle w:val="Corpsdetexte"/>
        <w:spacing w:before="1"/>
      </w:pPr>
    </w:p>
    <w:p w14:paraId="4441923F" w14:textId="77777777" w:rsidR="00E32F98" w:rsidRDefault="00000000">
      <w:pPr>
        <w:pStyle w:val="Titre2"/>
        <w:numPr>
          <w:ilvl w:val="0"/>
          <w:numId w:val="2"/>
        </w:numPr>
        <w:tabs>
          <w:tab w:val="left" w:pos="419"/>
        </w:tabs>
        <w:ind w:left="419" w:hanging="253"/>
      </w:pPr>
      <w:r>
        <w:t>Appréciation</w:t>
      </w:r>
      <w:r>
        <w:rPr>
          <w:spacing w:val="14"/>
        </w:rPr>
        <w:t xml:space="preserve"> </w:t>
      </w:r>
      <w:r>
        <w:t>globale,</w:t>
      </w:r>
      <w:r>
        <w:rPr>
          <w:spacing w:val="-18"/>
        </w:rPr>
        <w:t xml:space="preserve"> </w:t>
      </w:r>
      <w:r>
        <w:t>autres</w:t>
      </w:r>
      <w:r>
        <w:rPr>
          <w:spacing w:val="-4"/>
        </w:rPr>
        <w:t xml:space="preserve"> </w:t>
      </w:r>
      <w:r>
        <w:t>arguments</w:t>
      </w:r>
      <w:r>
        <w:rPr>
          <w:spacing w:val="-5"/>
        </w:rPr>
        <w:t xml:space="preserve"> </w:t>
      </w:r>
      <w:r>
        <w:t>et</w:t>
      </w:r>
      <w:r>
        <w:rPr>
          <w:spacing w:val="-15"/>
        </w:rPr>
        <w:t xml:space="preserve"> </w:t>
      </w:r>
      <w:r>
        <w:rPr>
          <w:spacing w:val="-2"/>
        </w:rPr>
        <w:t>conclusion</w:t>
      </w:r>
    </w:p>
    <w:p w14:paraId="22944F42" w14:textId="77777777" w:rsidR="00E32F98" w:rsidRDefault="00000000">
      <w:pPr>
        <w:pStyle w:val="Corpsdetexte"/>
        <w:spacing w:before="242" w:line="242" w:lineRule="auto"/>
        <w:ind w:left="166" w:right="145"/>
        <w:jc w:val="both"/>
      </w:pPr>
      <w:r>
        <w:t>Les produits ont été supposés identiques et s’adressent au grand public ou aux consommateurs professionnels, dont le niveau d’attention variera de moyen à élevé. Les signes sont faiblement similaires sur les plans visuel et phonétique et neutres ou non sur</w:t>
      </w:r>
      <w:r>
        <w:rPr>
          <w:spacing w:val="-5"/>
        </w:rPr>
        <w:t xml:space="preserve"> </w:t>
      </w:r>
      <w:r>
        <w:t>le plan conceptuel.</w:t>
      </w:r>
    </w:p>
    <w:p w14:paraId="2EB15EAF" w14:textId="77777777" w:rsidR="00E32F98" w:rsidRDefault="00E32F98">
      <w:pPr>
        <w:pStyle w:val="Corpsdetexte"/>
        <w:spacing w:before="1"/>
      </w:pPr>
    </w:p>
    <w:p w14:paraId="658A32E4" w14:textId="77777777" w:rsidR="00E32F98" w:rsidRDefault="00000000">
      <w:pPr>
        <w:pStyle w:val="Corpsdetexte"/>
        <w:ind w:left="166" w:right="150"/>
        <w:jc w:val="both"/>
      </w:pPr>
      <w:r>
        <w:t>La division d’annulation a présumé, dans la partie d) de cette décision, que la marque antérieure a fait l’objet d’un usage intensif et bénéficie d’une protection élargie. L’examen du risque de confusion sera donc effectué sur la base de l’hypothèse selon laquelle la marque antérieure possède un caractère distinctif accru. Le risque de confusion est d’autant plus élevé que le caractère distinctif de la marque antérieure s’avère important (11/11/1997, C- 251/95, Sabèl, EU:C:1997:528, § 24). Dès lors, les marques qui ont un caractère distinctif élevé, soit intrinsèquement, soit en raison de la connaissance de celles-ci sur le marché, jouissent d’une protection plus étendue que celles dont le caractère distinctif est moindre (29/09/1998, C-39/97, Canon, EU:C:1998:442,</w:t>
      </w:r>
      <w:r>
        <w:rPr>
          <w:spacing w:val="40"/>
        </w:rPr>
        <w:t xml:space="preserve"> </w:t>
      </w:r>
      <w:r>
        <w:t>§ 18).</w:t>
      </w:r>
    </w:p>
    <w:p w14:paraId="01CF546F" w14:textId="77777777" w:rsidR="00E32F98" w:rsidRDefault="00E32F98">
      <w:pPr>
        <w:pStyle w:val="Corpsdetexte"/>
        <w:jc w:val="both"/>
        <w:sectPr w:rsidR="00E32F98">
          <w:pgSz w:w="11910" w:h="16850"/>
          <w:pgMar w:top="1000" w:right="1275" w:bottom="280" w:left="1275" w:header="727" w:footer="0" w:gutter="0"/>
          <w:cols w:space="720"/>
        </w:sectPr>
      </w:pPr>
    </w:p>
    <w:p w14:paraId="09E6E69E" w14:textId="77777777" w:rsidR="00E32F98" w:rsidRDefault="00000000">
      <w:pPr>
        <w:pStyle w:val="Corpsdetexte"/>
      </w:pPr>
      <w:r>
        <w:rPr>
          <w:noProof/>
        </w:rPr>
        <w:lastRenderedPageBreak/>
        <mc:AlternateContent>
          <mc:Choice Requires="wps">
            <w:drawing>
              <wp:anchor distT="0" distB="0" distL="0" distR="0" simplePos="0" relativeHeight="15743488" behindDoc="0" locked="0" layoutInCell="1" allowOverlap="1" wp14:anchorId="7C031127" wp14:editId="1CB5FD21">
                <wp:simplePos x="0" y="0"/>
                <wp:positionH relativeFrom="page">
                  <wp:posOffset>270575</wp:posOffset>
                </wp:positionH>
                <wp:positionV relativeFrom="page">
                  <wp:posOffset>1118555</wp:posOffset>
                </wp:positionV>
                <wp:extent cx="146050" cy="921004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71595FB3"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43488" type="#_x0000_t202" id="docshape66"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7A29E907" w14:textId="77777777" w:rsidR="00E32F98" w:rsidRDefault="00E32F98">
      <w:pPr>
        <w:pStyle w:val="Corpsdetexte"/>
        <w:spacing w:before="188"/>
      </w:pPr>
    </w:p>
    <w:p w14:paraId="34DDBA21" w14:textId="77777777" w:rsidR="00E32F98" w:rsidRDefault="00000000">
      <w:pPr>
        <w:pStyle w:val="Corpsdetexte"/>
        <w:ind w:left="166" w:right="160"/>
        <w:jc w:val="both"/>
      </w:pPr>
      <w:r>
        <w:t>En l’espèce, compte tenu de tous les facteurs pertinents, en particulier compte tenu du fait que les signes ne partagent aucune connotation conceptuelle, que les lettres qu’ils ont en commun ne sont pas non plus un élément identifiable de manière</w:t>
      </w:r>
      <w:r>
        <w:rPr>
          <w:spacing w:val="-10"/>
        </w:rPr>
        <w:t xml:space="preserve"> </w:t>
      </w:r>
      <w:r>
        <w:t>indépendante</w:t>
      </w:r>
      <w:r>
        <w:rPr>
          <w:spacing w:val="-10"/>
        </w:rPr>
        <w:t xml:space="preserve"> </w:t>
      </w:r>
      <w:r>
        <w:t>au</w:t>
      </w:r>
      <w:r>
        <w:rPr>
          <w:spacing w:val="-10"/>
        </w:rPr>
        <w:t xml:space="preserve"> </w:t>
      </w:r>
      <w:r>
        <w:t>sein</w:t>
      </w:r>
      <w:r>
        <w:rPr>
          <w:spacing w:val="-10"/>
        </w:rPr>
        <w:t xml:space="preserve"> </w:t>
      </w:r>
      <w:r>
        <w:t>des signes, la division d’annulation est d’avis que les signes ne présentent</w:t>
      </w:r>
      <w:r>
        <w:rPr>
          <w:spacing w:val="-7"/>
        </w:rPr>
        <w:t xml:space="preserve"> </w:t>
      </w:r>
      <w:r>
        <w:t>pas suffisamment</w:t>
      </w:r>
      <w:r>
        <w:rPr>
          <w:spacing w:val="-7"/>
        </w:rPr>
        <w:t xml:space="preserve"> </w:t>
      </w:r>
      <w:r>
        <w:t>de similitudes pour que les consommateurs puissent confondre leur origine. Enoutre, même si une partie du public identifiait l’élément «MONTE» dans le signe contesté, cela ne ferait</w:t>
      </w:r>
      <w:r>
        <w:rPr>
          <w:spacing w:val="-10"/>
        </w:rPr>
        <w:t xml:space="preserve"> </w:t>
      </w:r>
      <w:r>
        <w:t>que éloigner davantage les signes, étant donné que l’autre signe est dépourvu d’une telle connotation ou d’une telle référence.</w:t>
      </w:r>
    </w:p>
    <w:p w14:paraId="393A53A3" w14:textId="77777777" w:rsidR="00E32F98" w:rsidRDefault="00E32F98">
      <w:pPr>
        <w:pStyle w:val="Corpsdetexte"/>
        <w:spacing w:before="5"/>
      </w:pPr>
    </w:p>
    <w:p w14:paraId="0DA77147" w14:textId="77777777" w:rsidR="00E32F98" w:rsidRDefault="00000000">
      <w:pPr>
        <w:pStyle w:val="Corpsdetexte"/>
        <w:ind w:left="166" w:right="152"/>
        <w:jc w:val="both"/>
      </w:pPr>
      <w:r>
        <w:t>À l’appui de ses arguments, la demanderesse renvoie à des décisions antérieures de l’Office. L’Office n’est toutefois pas lié par ses décisions antérieures, chaque affaire devant être traitée séparément et en fonction de ses particularités. Cette pratique a été pleinement soutenue par</w:t>
      </w:r>
      <w:r>
        <w:rPr>
          <w:spacing w:val="39"/>
        </w:rPr>
        <w:t xml:space="preserve"> </w:t>
      </w:r>
      <w:r>
        <w:t xml:space="preserve">le Tribunal, qui a déclaré qu’il est de jurisprudence constante que la légalité des décisions s’apprécie uniquement sur la base du RMUE, et non sur la base d’une pratique décisionnelle antérieure de l’Office (30/06/2004, T-281/02, Mehr für Ihr Geld, </w:t>
      </w:r>
      <w:r>
        <w:rPr>
          <w:spacing w:val="-2"/>
        </w:rPr>
        <w:t>EU:T:2004:198).</w:t>
      </w:r>
    </w:p>
    <w:p w14:paraId="6BB17B32" w14:textId="77777777" w:rsidR="00E32F98" w:rsidRDefault="00000000">
      <w:pPr>
        <w:pStyle w:val="Corpsdetexte"/>
        <w:spacing w:before="241" w:line="242" w:lineRule="auto"/>
        <w:ind w:left="166" w:right="161"/>
        <w:jc w:val="both"/>
      </w:pPr>
      <w:r>
        <w:t>Bien que les décisions antérieures de l’Office ne soient pas contraignantes, leur raisonnement et leur résultat doivent tout de même être dûment examinés lorsqu’il s’agit de statuer sur une affaire spécifique. À cet égard, il convient de noter que les affaires antérieures mentionnées par la demanderesse ne sont pas totalement comparables et présentent un ensemble de circonstances quelque peu distinct (par exemple, elles contiennent des lettres/sons supplémentaires, des connotations communes), ce qui empêcherait les conclusions qu’elles contiennent d’être applicables en l’espèce.</w:t>
      </w:r>
    </w:p>
    <w:p w14:paraId="12D0152B" w14:textId="77777777" w:rsidR="00E32F98" w:rsidRDefault="00000000">
      <w:pPr>
        <w:pStyle w:val="Corpsdetexte"/>
        <w:spacing w:before="239"/>
        <w:ind w:left="166" w:right="149"/>
        <w:jc w:val="both"/>
      </w:pPr>
      <w:r>
        <w:t>En tout état de cause, étant donné que la question des affaires antérieures comparables a été traitée par les deux</w:t>
      </w:r>
      <w:r>
        <w:rPr>
          <w:spacing w:val="-1"/>
        </w:rPr>
        <w:t xml:space="preserve"> </w:t>
      </w:r>
      <w:r>
        <w:t>parties, et en fournit d’ailleurs des exemples, la division d’annulation tient à souligner que, si l’Office est tenu d’exercer ses compétences en conformité</w:t>
      </w:r>
      <w:r>
        <w:rPr>
          <w:spacing w:val="-6"/>
        </w:rPr>
        <w:t xml:space="preserve"> </w:t>
      </w:r>
      <w:r>
        <w:t>avec les principes généraux du droit de l’Union européenne, tels que le principe d’égalité de traitement et le principe de bonne administration — la manière dont ces principes sont appliqués</w:t>
      </w:r>
      <w:r>
        <w:rPr>
          <w:spacing w:val="40"/>
        </w:rPr>
        <w:t xml:space="preserve"> </w:t>
      </w:r>
      <w:r>
        <w:t>doit être conciliée avec la légalité — il convient également de souligner que chaque affaire doit être examinée au cas par cas. L’issue d’une affaire donnée</w:t>
      </w:r>
      <w:r>
        <w:rPr>
          <w:spacing w:val="-9"/>
        </w:rPr>
        <w:t xml:space="preserve"> </w:t>
      </w:r>
      <w:r>
        <w:t>dépendra</w:t>
      </w:r>
      <w:r>
        <w:rPr>
          <w:spacing w:val="-9"/>
        </w:rPr>
        <w:t xml:space="preserve"> </w:t>
      </w:r>
      <w:r>
        <w:t>de critères spécifiques applicables aux faits de cette affaire, y compris, par exemple, les affirmations, les arguments et les observations des parties. Enfin, une partie à une</w:t>
      </w:r>
      <w:r>
        <w:rPr>
          <w:spacing w:val="40"/>
        </w:rPr>
        <w:t xml:space="preserve"> </w:t>
      </w:r>
      <w:r>
        <w:t>procédure devant l’Office ne saurait invoquer, ou utiliser à son profit, une</w:t>
      </w:r>
      <w:r>
        <w:rPr>
          <w:spacing w:val="-13"/>
        </w:rPr>
        <w:t xml:space="preserve"> </w:t>
      </w:r>
      <w:r>
        <w:t>illégalité</w:t>
      </w:r>
      <w:r>
        <w:rPr>
          <w:spacing w:val="-13"/>
        </w:rPr>
        <w:t xml:space="preserve"> </w:t>
      </w:r>
      <w:r>
        <w:t>éventuelle commise</w:t>
      </w:r>
      <w:r>
        <w:rPr>
          <w:spacing w:val="-13"/>
        </w:rPr>
        <w:t xml:space="preserve"> </w:t>
      </w:r>
      <w:r>
        <w:t>en</w:t>
      </w:r>
      <w:r>
        <w:rPr>
          <w:spacing w:val="-13"/>
        </w:rPr>
        <w:t xml:space="preserve"> </w:t>
      </w:r>
      <w:r>
        <w:t>faveur d’autrui afin d’obtenir une décision identique.</w:t>
      </w:r>
    </w:p>
    <w:p w14:paraId="53C8CA97" w14:textId="77777777" w:rsidR="00E32F98" w:rsidRDefault="00E32F98">
      <w:pPr>
        <w:pStyle w:val="Corpsdetexte"/>
        <w:spacing w:before="15"/>
      </w:pPr>
    </w:p>
    <w:p w14:paraId="5910F6FE" w14:textId="77777777" w:rsidR="00E32F98" w:rsidRDefault="00000000">
      <w:pPr>
        <w:pStyle w:val="Corpsdetexte"/>
        <w:spacing w:before="1" w:line="235" w:lineRule="auto"/>
        <w:ind w:left="166" w:right="162"/>
        <w:jc w:val="both"/>
      </w:pPr>
      <w:r>
        <w:t>Compte tenu de ce qui précède, il s’ensuit que, même si les décisions antérieures présentées devant la division d’annulation sont, dans une certaine mesure, similaires à l’espèce sur</w:t>
      </w:r>
      <w:r>
        <w:rPr>
          <w:spacing w:val="-7"/>
        </w:rPr>
        <w:t xml:space="preserve"> </w:t>
      </w:r>
      <w:r>
        <w:t>le plan factuel, l’issue pourrait ne pas être la même.</w:t>
      </w:r>
    </w:p>
    <w:p w14:paraId="7AE05CF0" w14:textId="77777777" w:rsidR="00E32F98" w:rsidRDefault="00E32F98">
      <w:pPr>
        <w:pStyle w:val="Corpsdetexte"/>
        <w:spacing w:before="5"/>
      </w:pPr>
    </w:p>
    <w:p w14:paraId="0C5A6E42" w14:textId="77777777" w:rsidR="00E32F98" w:rsidRDefault="00000000">
      <w:pPr>
        <w:pStyle w:val="Titre2"/>
        <w:ind w:left="166" w:firstLine="0"/>
      </w:pPr>
      <w:r>
        <w:rPr>
          <w:spacing w:val="-2"/>
        </w:rPr>
        <w:t>Conclusion</w:t>
      </w:r>
    </w:p>
    <w:p w14:paraId="04449240" w14:textId="77777777" w:rsidR="00E32F98" w:rsidRDefault="00E32F98">
      <w:pPr>
        <w:pStyle w:val="Corpsdetexte"/>
        <w:spacing w:before="4"/>
        <w:rPr>
          <w:rFonts w:ascii="Arial"/>
          <w:b/>
        </w:rPr>
      </w:pPr>
    </w:p>
    <w:p w14:paraId="55AB6489" w14:textId="77777777" w:rsidR="00E32F98" w:rsidRDefault="00000000">
      <w:pPr>
        <w:pStyle w:val="Corpsdetexte"/>
        <w:spacing w:line="242" w:lineRule="auto"/>
        <w:ind w:left="166" w:right="146"/>
        <w:jc w:val="both"/>
      </w:pPr>
      <w:r>
        <w:t>Compte tenu de tout ce qui précède, même à</w:t>
      </w:r>
      <w:r>
        <w:rPr>
          <w:spacing w:val="-8"/>
        </w:rPr>
        <w:t xml:space="preserve"> </w:t>
      </w:r>
      <w:r>
        <w:t>supposer</w:t>
      </w:r>
      <w:r>
        <w:rPr>
          <w:spacing w:val="-3"/>
        </w:rPr>
        <w:t xml:space="preserve"> </w:t>
      </w:r>
      <w:r>
        <w:t>que</w:t>
      </w:r>
      <w:r>
        <w:rPr>
          <w:spacing w:val="-8"/>
        </w:rPr>
        <w:t xml:space="preserve"> </w:t>
      </w:r>
      <w:r>
        <w:t>les produits soient</w:t>
      </w:r>
      <w:r>
        <w:rPr>
          <w:spacing w:val="-5"/>
        </w:rPr>
        <w:t xml:space="preserve"> </w:t>
      </w:r>
      <w:r>
        <w:t>identiques et que la marque antérieure soit présumée jouir d’un caractère distinctif accru, la division d’annulation conclut à l’absence de risque de confusion dans l’esprit du public. Par conséquent, la demande en nullité</w:t>
      </w:r>
      <w:r>
        <w:rPr>
          <w:spacing w:val="40"/>
        </w:rPr>
        <w:t xml:space="preserve"> </w:t>
      </w:r>
      <w:r>
        <w:t>doit être rejetée.</w:t>
      </w:r>
    </w:p>
    <w:p w14:paraId="2B3CB9F5" w14:textId="77777777" w:rsidR="00E32F98" w:rsidRDefault="00000000">
      <w:pPr>
        <w:pStyle w:val="Corpsdetexte"/>
        <w:spacing w:before="239" w:line="242" w:lineRule="auto"/>
        <w:ind w:left="166" w:right="145"/>
        <w:jc w:val="both"/>
      </w:pPr>
      <w:r>
        <w:t>Étant</w:t>
      </w:r>
      <w:r>
        <w:rPr>
          <w:spacing w:val="40"/>
        </w:rPr>
        <w:t xml:space="preserve"> </w:t>
      </w:r>
      <w:r>
        <w:t>donné</w:t>
      </w:r>
      <w:r>
        <w:rPr>
          <w:spacing w:val="40"/>
        </w:rPr>
        <w:t xml:space="preserve"> </w:t>
      </w:r>
      <w:r>
        <w:t>que</w:t>
      </w:r>
      <w:r>
        <w:rPr>
          <w:spacing w:val="40"/>
        </w:rPr>
        <w:t xml:space="preserve"> </w:t>
      </w:r>
      <w:r>
        <w:t>la</w:t>
      </w:r>
      <w:r>
        <w:rPr>
          <w:spacing w:val="40"/>
        </w:rPr>
        <w:t xml:space="preserve"> </w:t>
      </w:r>
      <w:r>
        <w:t>demande</w:t>
      </w:r>
      <w:r>
        <w:rPr>
          <w:spacing w:val="40"/>
        </w:rPr>
        <w:t xml:space="preserve"> </w:t>
      </w:r>
      <w:r>
        <w:t>n’est</w:t>
      </w:r>
      <w:r>
        <w:rPr>
          <w:spacing w:val="40"/>
        </w:rPr>
        <w:t xml:space="preserve"> </w:t>
      </w:r>
      <w:r>
        <w:t>pas</w:t>
      </w:r>
      <w:r>
        <w:rPr>
          <w:spacing w:val="40"/>
        </w:rPr>
        <w:t xml:space="preserve"> </w:t>
      </w:r>
      <w:r>
        <w:t>fondée au titre de l’article 8, paragraphe</w:t>
      </w:r>
      <w:r>
        <w:rPr>
          <w:spacing w:val="-7"/>
        </w:rPr>
        <w:t xml:space="preserve"> </w:t>
      </w:r>
      <w:r>
        <w:t>1, du RMUE, lu conjointement avec l’article</w:t>
      </w:r>
      <w:r>
        <w:rPr>
          <w:spacing w:val="-4"/>
        </w:rPr>
        <w:t xml:space="preserve"> </w:t>
      </w:r>
      <w:r>
        <w:t>60, paragraphe</w:t>
      </w:r>
      <w:r>
        <w:rPr>
          <w:spacing w:val="-8"/>
        </w:rPr>
        <w:t xml:space="preserve"> </w:t>
      </w:r>
      <w:r>
        <w:t>1, point</w:t>
      </w:r>
      <w:r>
        <w:rPr>
          <w:spacing w:val="-6"/>
        </w:rPr>
        <w:t xml:space="preserve"> </w:t>
      </w:r>
      <w:r>
        <w:t>a), du RMUE, il n’est pas nécessaire d’examiner les preuves de l’usage produites par la demanderesse au titre de</w:t>
      </w:r>
      <w:r>
        <w:rPr>
          <w:spacing w:val="-8"/>
        </w:rPr>
        <w:t xml:space="preserve"> </w:t>
      </w:r>
      <w:r>
        <w:t xml:space="preserve">ce </w:t>
      </w:r>
      <w:r>
        <w:rPr>
          <w:spacing w:val="-2"/>
        </w:rPr>
        <w:t>motif.</w:t>
      </w:r>
    </w:p>
    <w:p w14:paraId="53B6ABD8" w14:textId="77777777" w:rsidR="00E32F98" w:rsidRDefault="00E32F98">
      <w:pPr>
        <w:pStyle w:val="Corpsdetexte"/>
        <w:spacing w:line="242" w:lineRule="auto"/>
        <w:jc w:val="both"/>
        <w:sectPr w:rsidR="00E32F98">
          <w:pgSz w:w="11910" w:h="16850"/>
          <w:pgMar w:top="1000" w:right="1275" w:bottom="280" w:left="1275" w:header="727" w:footer="0" w:gutter="0"/>
          <w:cols w:space="720"/>
        </w:sectPr>
      </w:pPr>
    </w:p>
    <w:p w14:paraId="21EB4E05" w14:textId="77777777" w:rsidR="00E32F98" w:rsidRDefault="00000000">
      <w:pPr>
        <w:pStyle w:val="Corpsdetexte"/>
        <w:spacing w:before="188"/>
      </w:pPr>
      <w:r>
        <w:rPr>
          <w:noProof/>
        </w:rPr>
        <w:lastRenderedPageBreak/>
        <mc:AlternateContent>
          <mc:Choice Requires="wps">
            <w:drawing>
              <wp:anchor distT="0" distB="0" distL="0" distR="0" simplePos="0" relativeHeight="15744000" behindDoc="0" locked="0" layoutInCell="1" allowOverlap="1" wp14:anchorId="0CBCAD7D" wp14:editId="3D58475D">
                <wp:simplePos x="0" y="0"/>
                <wp:positionH relativeFrom="page">
                  <wp:posOffset>270575</wp:posOffset>
                </wp:positionH>
                <wp:positionV relativeFrom="page">
                  <wp:posOffset>1118555</wp:posOffset>
                </wp:positionV>
                <wp:extent cx="146050" cy="921004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3CFD0974"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44000" type="#_x0000_t202" id="docshape67"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5B1CD368" w14:textId="77777777" w:rsidR="00E32F98" w:rsidRDefault="00000000">
      <w:pPr>
        <w:pStyle w:val="Corpsdetexte"/>
        <w:spacing w:line="237" w:lineRule="auto"/>
        <w:ind w:left="166" w:right="147"/>
        <w:jc w:val="both"/>
      </w:pPr>
      <w:r>
        <w:t>De</w:t>
      </w:r>
      <w:r>
        <w:rPr>
          <w:spacing w:val="-4"/>
        </w:rPr>
        <w:t xml:space="preserve"> </w:t>
      </w:r>
      <w:r>
        <w:t>même,</w:t>
      </w:r>
      <w:r>
        <w:rPr>
          <w:spacing w:val="-14"/>
        </w:rPr>
        <w:t xml:space="preserve"> </w:t>
      </w:r>
      <w:r>
        <w:t>même</w:t>
      </w:r>
      <w:r>
        <w:rPr>
          <w:spacing w:val="-16"/>
        </w:rPr>
        <w:t xml:space="preserve"> </w:t>
      </w:r>
      <w:r>
        <w:t>à supposer</w:t>
      </w:r>
      <w:r>
        <w:rPr>
          <w:spacing w:val="-12"/>
        </w:rPr>
        <w:t xml:space="preserve"> </w:t>
      </w:r>
      <w:r>
        <w:t>que la</w:t>
      </w:r>
      <w:r>
        <w:rPr>
          <w:spacing w:val="-1"/>
        </w:rPr>
        <w:t xml:space="preserve"> </w:t>
      </w:r>
      <w:r>
        <w:t>marque</w:t>
      </w:r>
      <w:r>
        <w:rPr>
          <w:spacing w:val="-1"/>
        </w:rPr>
        <w:t xml:space="preserve"> </w:t>
      </w:r>
      <w:r>
        <w:t>antérieure jouisse</w:t>
      </w:r>
      <w:r>
        <w:rPr>
          <w:spacing w:val="-1"/>
        </w:rPr>
        <w:t xml:space="preserve"> </w:t>
      </w:r>
      <w:r>
        <w:t>d’un caractère</w:t>
      </w:r>
      <w:r>
        <w:rPr>
          <w:spacing w:val="-16"/>
        </w:rPr>
        <w:t xml:space="preserve"> </w:t>
      </w:r>
      <w:r>
        <w:t>distinctif accru en raison de son usage intensif et de sa renommée, l’absence de risque de confusion n’en demeurerait pas moins. Par conséquent, il n’est pas nécessaire d’examiner la preuve de la renommée à ce stade; Toutefois, l’analyse va maintenant être effectuée dans le cadre des dispositions de l’article 8, paragraphe 5, du RMUE.</w:t>
      </w:r>
    </w:p>
    <w:p w14:paraId="7BE72275" w14:textId="77777777" w:rsidR="00E32F98" w:rsidRDefault="00E32F98">
      <w:pPr>
        <w:pStyle w:val="Corpsdetexte"/>
      </w:pPr>
    </w:p>
    <w:p w14:paraId="6D21CEFF" w14:textId="77777777" w:rsidR="00E32F98" w:rsidRDefault="00E32F98">
      <w:pPr>
        <w:pStyle w:val="Corpsdetexte"/>
        <w:spacing w:before="11"/>
      </w:pPr>
    </w:p>
    <w:p w14:paraId="450F0D70" w14:textId="77777777" w:rsidR="00E32F98" w:rsidRDefault="00000000">
      <w:pPr>
        <w:pStyle w:val="Titre2"/>
        <w:spacing w:line="242" w:lineRule="auto"/>
        <w:ind w:left="166" w:right="152" w:firstLine="0"/>
        <w:jc w:val="both"/>
      </w:pPr>
      <w:r>
        <w:t>Renommée — article 60, paragraphe 1, point a), du RMUE, lu conjointement avec l’article 8, paragraphe 5, du RMUE</w:t>
      </w:r>
    </w:p>
    <w:p w14:paraId="6D8364D1" w14:textId="77777777" w:rsidR="00E32F98" w:rsidRDefault="00E32F98">
      <w:pPr>
        <w:pStyle w:val="Corpsdetexte"/>
        <w:spacing w:before="3"/>
        <w:rPr>
          <w:rFonts w:ascii="Arial"/>
          <w:b/>
        </w:rPr>
      </w:pPr>
    </w:p>
    <w:p w14:paraId="64BF8BAD" w14:textId="77777777" w:rsidR="00E32F98" w:rsidRDefault="00000000">
      <w:pPr>
        <w:pStyle w:val="Corpsdetexte"/>
        <w:spacing w:before="1" w:line="237" w:lineRule="auto"/>
        <w:ind w:left="166" w:right="149"/>
        <w:jc w:val="both"/>
      </w:pPr>
      <w:r>
        <w:t>Conformément à l’article</w:t>
      </w:r>
      <w:r>
        <w:rPr>
          <w:spacing w:val="-6"/>
        </w:rPr>
        <w:t xml:space="preserve"> </w:t>
      </w:r>
      <w:r>
        <w:t>60, paragraphe</w:t>
      </w:r>
      <w:r>
        <w:rPr>
          <w:spacing w:val="-7"/>
        </w:rPr>
        <w:t xml:space="preserve"> </w:t>
      </w:r>
      <w:r>
        <w:t>1, point</w:t>
      </w:r>
      <w:r>
        <w:rPr>
          <w:spacing w:val="-6"/>
        </w:rPr>
        <w:t xml:space="preserve"> </w:t>
      </w:r>
      <w:r>
        <w:t>a), du RMUE, une marque de l’Union européenne est déclarée nulle sur demande présentée auprès de</w:t>
      </w:r>
      <w:r>
        <w:rPr>
          <w:spacing w:val="-9"/>
        </w:rPr>
        <w:t xml:space="preserve"> </w:t>
      </w:r>
      <w:r>
        <w:t>l’Office</w:t>
      </w:r>
      <w:r>
        <w:rPr>
          <w:spacing w:val="-9"/>
        </w:rPr>
        <w:t xml:space="preserve"> </w:t>
      </w:r>
      <w:r>
        <w:t>lorsqu’il</w:t>
      </w:r>
      <w:r>
        <w:rPr>
          <w:spacing w:val="-9"/>
        </w:rPr>
        <w:t xml:space="preserve"> </w:t>
      </w:r>
      <w:r>
        <w:t>existe</w:t>
      </w:r>
      <w:r>
        <w:rPr>
          <w:spacing w:val="-9"/>
        </w:rPr>
        <w:t xml:space="preserve"> </w:t>
      </w:r>
      <w:r>
        <w:t>une marque</w:t>
      </w:r>
      <w:r>
        <w:rPr>
          <w:spacing w:val="40"/>
        </w:rPr>
        <w:t xml:space="preserve"> </w:t>
      </w:r>
      <w:r>
        <w:t>antérieure</w:t>
      </w:r>
      <w:r>
        <w:rPr>
          <w:spacing w:val="40"/>
        </w:rPr>
        <w:t xml:space="preserve"> </w:t>
      </w:r>
      <w:r>
        <w:t>visée</w:t>
      </w:r>
      <w:r>
        <w:rPr>
          <w:spacing w:val="40"/>
        </w:rPr>
        <w:t xml:space="preserve"> </w:t>
      </w:r>
      <w:r>
        <w:t>à</w:t>
      </w:r>
      <w:r>
        <w:rPr>
          <w:spacing w:val="40"/>
        </w:rPr>
        <w:t xml:space="preserve"> </w:t>
      </w:r>
      <w:r>
        <w:t>l’article</w:t>
      </w:r>
      <w:r>
        <w:rPr>
          <w:spacing w:val="-3"/>
        </w:rPr>
        <w:t xml:space="preserve"> </w:t>
      </w:r>
      <w:r>
        <w:t>8,</w:t>
      </w:r>
      <w:r>
        <w:rPr>
          <w:spacing w:val="40"/>
        </w:rPr>
        <w:t xml:space="preserve"> </w:t>
      </w:r>
      <w:r>
        <w:t>paragraphe</w:t>
      </w:r>
      <w:r>
        <w:rPr>
          <w:spacing w:val="-6"/>
        </w:rPr>
        <w:t xml:space="preserve"> </w:t>
      </w:r>
      <w:r>
        <w:t>2, du RMUE et que les</w:t>
      </w:r>
      <w:r>
        <w:rPr>
          <w:spacing w:val="40"/>
        </w:rPr>
        <w:t xml:space="preserve"> </w:t>
      </w:r>
      <w:r>
        <w:t>conditions énoncées à l’article 8, paragraphe 1 ou (5), du RMUE</w:t>
      </w:r>
      <w:r>
        <w:rPr>
          <w:spacing w:val="40"/>
        </w:rPr>
        <w:t xml:space="preserve"> </w:t>
      </w:r>
      <w:r>
        <w:t>sont</w:t>
      </w:r>
      <w:r>
        <w:rPr>
          <w:spacing w:val="-12"/>
        </w:rPr>
        <w:t xml:space="preserve"> </w:t>
      </w:r>
      <w:r>
        <w:t>remplies.</w:t>
      </w:r>
    </w:p>
    <w:p w14:paraId="235E5F77" w14:textId="77777777" w:rsidR="00E32F98" w:rsidRDefault="00E32F98">
      <w:pPr>
        <w:pStyle w:val="Corpsdetexte"/>
        <w:spacing w:before="4"/>
      </w:pPr>
    </w:p>
    <w:p w14:paraId="7681161E" w14:textId="77777777" w:rsidR="00E32F98" w:rsidRDefault="00000000">
      <w:pPr>
        <w:pStyle w:val="Corpsdetexte"/>
        <w:ind w:left="166" w:right="146"/>
        <w:jc w:val="both"/>
      </w:pPr>
      <w:r>
        <w:t>Conformément</w:t>
      </w:r>
      <w:r>
        <w:rPr>
          <w:spacing w:val="40"/>
        </w:rPr>
        <w:t xml:space="preserve"> </w:t>
      </w:r>
      <w:r>
        <w:t>à</w:t>
      </w:r>
      <w:r>
        <w:rPr>
          <w:spacing w:val="40"/>
        </w:rPr>
        <w:t xml:space="preserve"> </w:t>
      </w:r>
      <w:r>
        <w:t>l’article</w:t>
      </w:r>
      <w:r>
        <w:rPr>
          <w:spacing w:val="-6"/>
        </w:rPr>
        <w:t xml:space="preserve"> </w:t>
      </w:r>
      <w:r>
        <w:t>8,</w:t>
      </w:r>
      <w:r>
        <w:rPr>
          <w:spacing w:val="40"/>
        </w:rPr>
        <w:t xml:space="preserve"> </w:t>
      </w:r>
      <w:r>
        <w:t>paragraphe</w:t>
      </w:r>
      <w:r>
        <w:rPr>
          <w:spacing w:val="-7"/>
        </w:rPr>
        <w:t xml:space="preserve"> </w:t>
      </w:r>
      <w:r>
        <w:t>5,</w:t>
      </w:r>
      <w:r>
        <w:rPr>
          <w:spacing w:val="40"/>
        </w:rPr>
        <w:t xml:space="preserve"> </w:t>
      </w:r>
      <w:r>
        <w:t>du</w:t>
      </w:r>
      <w:r>
        <w:rPr>
          <w:spacing w:val="40"/>
        </w:rPr>
        <w:t xml:space="preserve"> </w:t>
      </w:r>
      <w:r>
        <w:t>RMUE,</w:t>
      </w:r>
      <w:r>
        <w:rPr>
          <w:spacing w:val="40"/>
        </w:rPr>
        <w:t xml:space="preserve"> </w:t>
      </w:r>
      <w:r>
        <w:t>sur</w:t>
      </w:r>
      <w:r>
        <w:rPr>
          <w:spacing w:val="40"/>
        </w:rPr>
        <w:t xml:space="preserve"> </w:t>
      </w:r>
      <w:r>
        <w:t>opposition</w:t>
      </w:r>
      <w:r>
        <w:rPr>
          <w:spacing w:val="40"/>
        </w:rPr>
        <w:t xml:space="preserve"> </w:t>
      </w:r>
      <w:r>
        <w:t>du</w:t>
      </w:r>
      <w:r>
        <w:rPr>
          <w:spacing w:val="40"/>
        </w:rPr>
        <w:t xml:space="preserve"> </w:t>
      </w:r>
      <w:r>
        <w:t>titulaire d’une marque antérieure enregistrée au sens de l’article</w:t>
      </w:r>
      <w:r>
        <w:rPr>
          <w:spacing w:val="-1"/>
        </w:rPr>
        <w:t xml:space="preserve"> </w:t>
      </w:r>
      <w:r>
        <w:t>8, paragraphe</w:t>
      </w:r>
      <w:r>
        <w:rPr>
          <w:spacing w:val="-7"/>
        </w:rPr>
        <w:t xml:space="preserve"> </w:t>
      </w:r>
      <w:r>
        <w:t>2, du RMUE, la marque contestée est refusée à l’enregistrement lorsqu’elle est identique ou similaire à une marque antérieure, que les produits ou les services pour lesquels l’enregistrement est demandé soient identiques, similaires ou non similaires à ceux pour lesquels la</w:t>
      </w:r>
      <w:r>
        <w:rPr>
          <w:spacing w:val="-8"/>
        </w:rPr>
        <w:t xml:space="preserve"> </w:t>
      </w:r>
      <w:r>
        <w:t>marque</w:t>
      </w:r>
      <w:r>
        <w:rPr>
          <w:spacing w:val="-8"/>
        </w:rPr>
        <w:t xml:space="preserve"> </w:t>
      </w:r>
      <w:r>
        <w:t>antérieure</w:t>
      </w:r>
      <w:r>
        <w:rPr>
          <w:spacing w:val="-8"/>
        </w:rPr>
        <w:t xml:space="preserve"> </w:t>
      </w:r>
      <w:r>
        <w:t>est enregistrée, lorsque, dans le cas d’une marque de</w:t>
      </w:r>
      <w:r>
        <w:rPr>
          <w:spacing w:val="-12"/>
        </w:rPr>
        <w:t xml:space="preserve"> </w:t>
      </w:r>
      <w:r>
        <w:t>l’Union</w:t>
      </w:r>
      <w:r>
        <w:rPr>
          <w:spacing w:val="-12"/>
        </w:rPr>
        <w:t xml:space="preserve"> </w:t>
      </w:r>
      <w:r>
        <w:t>européenne</w:t>
      </w:r>
      <w:r>
        <w:rPr>
          <w:spacing w:val="-12"/>
        </w:rPr>
        <w:t xml:space="preserve"> </w:t>
      </w:r>
      <w:r>
        <w:t>antérieure,</w:t>
      </w:r>
      <w:r>
        <w:rPr>
          <w:spacing w:val="-9"/>
        </w:rPr>
        <w:t xml:space="preserve"> </w:t>
      </w:r>
      <w:r>
        <w:t>la</w:t>
      </w:r>
      <w:r>
        <w:rPr>
          <w:spacing w:val="-12"/>
        </w:rPr>
        <w:t xml:space="preserve"> </w:t>
      </w:r>
      <w:r>
        <w:t>marque jouit d’une renommée dans l’Union ou, dans le cas d’une marque nationale antérieure, la marque jouit d’une renommée dans l’État</w:t>
      </w:r>
      <w:r>
        <w:rPr>
          <w:spacing w:val="-2"/>
        </w:rPr>
        <w:t xml:space="preserve"> </w:t>
      </w:r>
      <w:r>
        <w:t>membre</w:t>
      </w:r>
      <w:r>
        <w:rPr>
          <w:spacing w:val="-5"/>
        </w:rPr>
        <w:t xml:space="preserve"> </w:t>
      </w:r>
      <w:r>
        <w:t>concerné</w:t>
      </w:r>
      <w:r>
        <w:rPr>
          <w:spacing w:val="-5"/>
        </w:rPr>
        <w:t xml:space="preserve"> </w:t>
      </w:r>
      <w:r>
        <w:t>et</w:t>
      </w:r>
      <w:r>
        <w:rPr>
          <w:spacing w:val="-2"/>
        </w:rPr>
        <w:t xml:space="preserve"> </w:t>
      </w:r>
      <w:r>
        <w:t>si</w:t>
      </w:r>
      <w:r>
        <w:rPr>
          <w:spacing w:val="-5"/>
        </w:rPr>
        <w:t xml:space="preserve"> </w:t>
      </w:r>
      <w:r>
        <w:t>l’usage</w:t>
      </w:r>
      <w:r>
        <w:rPr>
          <w:spacing w:val="-5"/>
        </w:rPr>
        <w:t xml:space="preserve"> </w:t>
      </w:r>
      <w:r>
        <w:t>sans juste</w:t>
      </w:r>
      <w:r>
        <w:rPr>
          <w:spacing w:val="-5"/>
        </w:rPr>
        <w:t xml:space="preserve"> </w:t>
      </w:r>
      <w:r>
        <w:t>motif</w:t>
      </w:r>
      <w:r>
        <w:rPr>
          <w:spacing w:val="-2"/>
        </w:rPr>
        <w:t xml:space="preserve"> </w:t>
      </w:r>
      <w:r>
        <w:t>de la marque contestée tirerait indûment profit du caractère distinctif ou de la renommée de la marque antérieure ou leur porterait préjudice.</w:t>
      </w:r>
    </w:p>
    <w:p w14:paraId="513A7E73" w14:textId="77777777" w:rsidR="00E32F98" w:rsidRDefault="00000000">
      <w:pPr>
        <w:pStyle w:val="Corpsdetexte"/>
        <w:spacing w:before="248" w:line="242" w:lineRule="auto"/>
        <w:ind w:left="166" w:right="151"/>
        <w:jc w:val="both"/>
      </w:pPr>
      <w:r>
        <w:t>Par conséquent, les motifs de refus visés à l’article 8, paragraphe</w:t>
      </w:r>
      <w:r>
        <w:rPr>
          <w:spacing w:val="-6"/>
        </w:rPr>
        <w:t xml:space="preserve"> </w:t>
      </w:r>
      <w:r>
        <w:t>5, du RMUE ne sont applicables dans le cadre d’une procédure de nullité que lorsque les conditions suivantes sont remplies:</w:t>
      </w:r>
    </w:p>
    <w:p w14:paraId="4C11DDDD" w14:textId="77777777" w:rsidR="00E32F98" w:rsidRDefault="00E32F98">
      <w:pPr>
        <w:pStyle w:val="Corpsdetexte"/>
        <w:spacing w:before="1"/>
      </w:pPr>
    </w:p>
    <w:p w14:paraId="64794A30" w14:textId="77777777" w:rsidR="00E32F98" w:rsidRDefault="00000000">
      <w:pPr>
        <w:pStyle w:val="Paragraphedeliste"/>
        <w:numPr>
          <w:ilvl w:val="1"/>
          <w:numId w:val="2"/>
        </w:numPr>
        <w:tabs>
          <w:tab w:val="left" w:pos="1095"/>
        </w:tabs>
        <w:spacing w:before="1"/>
        <w:ind w:left="1095" w:hanging="328"/>
        <w:jc w:val="both"/>
      </w:pPr>
      <w:r>
        <w:t>Les</w:t>
      </w:r>
      <w:r>
        <w:rPr>
          <w:spacing w:val="-5"/>
        </w:rPr>
        <w:t xml:space="preserve"> </w:t>
      </w:r>
      <w:r>
        <w:t>signes</w:t>
      </w:r>
      <w:r>
        <w:rPr>
          <w:spacing w:val="-15"/>
        </w:rPr>
        <w:t xml:space="preserve"> </w:t>
      </w:r>
      <w:r>
        <w:t>doivent</w:t>
      </w:r>
      <w:r>
        <w:rPr>
          <w:spacing w:val="14"/>
        </w:rPr>
        <w:t xml:space="preserve"> </w:t>
      </w:r>
      <w:r>
        <w:t>être</w:t>
      </w:r>
      <w:r>
        <w:rPr>
          <w:spacing w:val="-15"/>
        </w:rPr>
        <w:t xml:space="preserve"> </w:t>
      </w:r>
      <w:r>
        <w:t>identiques</w:t>
      </w:r>
      <w:r>
        <w:rPr>
          <w:spacing w:val="9"/>
        </w:rPr>
        <w:t xml:space="preserve"> </w:t>
      </w:r>
      <w:r>
        <w:t>ou</w:t>
      </w:r>
      <w:r>
        <w:rPr>
          <w:spacing w:val="-15"/>
        </w:rPr>
        <w:t xml:space="preserve"> </w:t>
      </w:r>
      <w:r>
        <w:rPr>
          <w:spacing w:val="-2"/>
        </w:rPr>
        <w:t>similaires;</w:t>
      </w:r>
    </w:p>
    <w:p w14:paraId="1C200AA7" w14:textId="77777777" w:rsidR="00E32F98" w:rsidRDefault="00E32F98">
      <w:pPr>
        <w:pStyle w:val="Corpsdetexte"/>
        <w:spacing w:before="6"/>
      </w:pPr>
    </w:p>
    <w:p w14:paraId="14455BC6" w14:textId="77777777" w:rsidR="00E32F98" w:rsidRDefault="00000000">
      <w:pPr>
        <w:pStyle w:val="Paragraphedeliste"/>
        <w:numPr>
          <w:ilvl w:val="1"/>
          <w:numId w:val="2"/>
        </w:numPr>
        <w:tabs>
          <w:tab w:val="left" w:pos="1110"/>
        </w:tabs>
        <w:spacing w:line="237" w:lineRule="auto"/>
        <w:ind w:left="767" w:right="147" w:firstLine="0"/>
        <w:jc w:val="both"/>
      </w:pPr>
      <w:r>
        <w:t>La marque antérieure doit jouir</w:t>
      </w:r>
      <w:r>
        <w:rPr>
          <w:spacing w:val="-5"/>
        </w:rPr>
        <w:t xml:space="preserve"> </w:t>
      </w:r>
      <w:r>
        <w:t>d’une</w:t>
      </w:r>
      <w:r>
        <w:rPr>
          <w:spacing w:val="-10"/>
        </w:rPr>
        <w:t xml:space="preserve"> </w:t>
      </w:r>
      <w:r>
        <w:t>renommée.</w:t>
      </w:r>
      <w:r>
        <w:rPr>
          <w:spacing w:val="-7"/>
        </w:rPr>
        <w:t xml:space="preserve"> </w:t>
      </w:r>
      <w:r>
        <w:t>La</w:t>
      </w:r>
      <w:r>
        <w:rPr>
          <w:spacing w:val="-10"/>
        </w:rPr>
        <w:t xml:space="preserve"> </w:t>
      </w:r>
      <w:r>
        <w:t>renommée</w:t>
      </w:r>
      <w:r>
        <w:rPr>
          <w:spacing w:val="-10"/>
        </w:rPr>
        <w:t xml:space="preserve"> </w:t>
      </w:r>
      <w:r>
        <w:t>doit</w:t>
      </w:r>
      <w:r>
        <w:rPr>
          <w:spacing w:val="-7"/>
        </w:rPr>
        <w:t xml:space="preserve"> </w:t>
      </w:r>
      <w:r>
        <w:t>être</w:t>
      </w:r>
      <w:r>
        <w:rPr>
          <w:spacing w:val="-10"/>
        </w:rPr>
        <w:t xml:space="preserve"> </w:t>
      </w:r>
      <w:r>
        <w:t>antérieure au dépôt de la marque contestée et doit toujours exister au moment du dépôt de la demande en nullité; elle doit exister sur le territoire concerné et</w:t>
      </w:r>
      <w:r>
        <w:rPr>
          <w:spacing w:val="-9"/>
        </w:rPr>
        <w:t xml:space="preserve"> </w:t>
      </w:r>
      <w:r>
        <w:t>pour les produits et/ou services sur</w:t>
      </w:r>
      <w:r>
        <w:rPr>
          <w:spacing w:val="-5"/>
        </w:rPr>
        <w:t xml:space="preserve"> </w:t>
      </w:r>
      <w:r>
        <w:t>lesquels la demande en nullité</w:t>
      </w:r>
      <w:r>
        <w:rPr>
          <w:spacing w:val="40"/>
        </w:rPr>
        <w:t xml:space="preserve"> </w:t>
      </w:r>
      <w:r>
        <w:t>est</w:t>
      </w:r>
      <w:r>
        <w:rPr>
          <w:spacing w:val="-7"/>
        </w:rPr>
        <w:t xml:space="preserve"> </w:t>
      </w:r>
      <w:r>
        <w:t>fondée;</w:t>
      </w:r>
    </w:p>
    <w:p w14:paraId="43DE69C3" w14:textId="77777777" w:rsidR="00E32F98" w:rsidRDefault="00E32F98">
      <w:pPr>
        <w:pStyle w:val="Corpsdetexte"/>
        <w:spacing w:before="4"/>
      </w:pPr>
    </w:p>
    <w:p w14:paraId="468C2579" w14:textId="77777777" w:rsidR="00E32F98" w:rsidRDefault="00000000">
      <w:pPr>
        <w:pStyle w:val="Paragraphedeliste"/>
        <w:numPr>
          <w:ilvl w:val="1"/>
          <w:numId w:val="2"/>
        </w:numPr>
        <w:tabs>
          <w:tab w:val="left" w:pos="1155"/>
        </w:tabs>
        <w:spacing w:line="242" w:lineRule="auto"/>
        <w:ind w:left="767" w:right="160" w:firstLine="0"/>
        <w:jc w:val="both"/>
      </w:pPr>
      <w:r>
        <w:t xml:space="preserve">Risque de blessure: l’usage de la marque contestée tirerait indûment profit du caractère distinctif ou de la renommée de la marque antérieure ou leur porterait </w:t>
      </w:r>
      <w:r>
        <w:rPr>
          <w:spacing w:val="-2"/>
        </w:rPr>
        <w:t>préjudice.</w:t>
      </w:r>
    </w:p>
    <w:p w14:paraId="09865F50" w14:textId="77777777" w:rsidR="00E32F98" w:rsidRDefault="00000000">
      <w:pPr>
        <w:pStyle w:val="Corpsdetexte"/>
        <w:spacing w:before="239" w:line="242" w:lineRule="auto"/>
        <w:ind w:left="166" w:right="147"/>
        <w:jc w:val="both"/>
      </w:pPr>
      <w:r>
        <w:t>Les conditions susmentionnées sont cumulatives et, par conséquent, l’absence de l’une d’entre elles entraînera le rejet de la demande en nullité au titre de</w:t>
      </w:r>
      <w:r>
        <w:rPr>
          <w:spacing w:val="-13"/>
        </w:rPr>
        <w:t xml:space="preserve"> </w:t>
      </w:r>
      <w:r>
        <w:t>l’article 60,</w:t>
      </w:r>
      <w:r>
        <w:rPr>
          <w:spacing w:val="-10"/>
        </w:rPr>
        <w:t xml:space="preserve"> </w:t>
      </w:r>
      <w:r>
        <w:t>paragraphe</w:t>
      </w:r>
      <w:r>
        <w:rPr>
          <w:spacing w:val="-10"/>
        </w:rPr>
        <w:t xml:space="preserve"> </w:t>
      </w:r>
      <w:r>
        <w:t>1, point</w:t>
      </w:r>
      <w:r>
        <w:rPr>
          <w:spacing w:val="-10"/>
        </w:rPr>
        <w:t xml:space="preserve"> </w:t>
      </w:r>
      <w:r>
        <w:t>a),</w:t>
      </w:r>
      <w:r>
        <w:rPr>
          <w:spacing w:val="30"/>
        </w:rPr>
        <w:t xml:space="preserve"> </w:t>
      </w:r>
      <w:r>
        <w:t>du</w:t>
      </w:r>
      <w:r>
        <w:rPr>
          <w:spacing w:val="27"/>
        </w:rPr>
        <w:t xml:space="preserve"> </w:t>
      </w:r>
      <w:r>
        <w:t>RMUE,</w:t>
      </w:r>
      <w:r>
        <w:rPr>
          <w:spacing w:val="29"/>
        </w:rPr>
        <w:t xml:space="preserve"> </w:t>
      </w:r>
      <w:r>
        <w:t>lu</w:t>
      </w:r>
      <w:r>
        <w:rPr>
          <w:spacing w:val="27"/>
        </w:rPr>
        <w:t xml:space="preserve"> </w:t>
      </w:r>
      <w:r>
        <w:t>conjointement</w:t>
      </w:r>
      <w:r>
        <w:rPr>
          <w:spacing w:val="30"/>
        </w:rPr>
        <w:t xml:space="preserve"> </w:t>
      </w:r>
      <w:r>
        <w:t>avec</w:t>
      </w:r>
      <w:r>
        <w:rPr>
          <w:spacing w:val="25"/>
        </w:rPr>
        <w:t xml:space="preserve"> </w:t>
      </w:r>
      <w:r>
        <w:t>l’article</w:t>
      </w:r>
      <w:r>
        <w:rPr>
          <w:spacing w:val="-6"/>
        </w:rPr>
        <w:t xml:space="preserve"> </w:t>
      </w:r>
      <w:r>
        <w:t>8, paragraphe</w:t>
      </w:r>
      <w:r>
        <w:rPr>
          <w:spacing w:val="-10"/>
        </w:rPr>
        <w:t xml:space="preserve"> </w:t>
      </w:r>
      <w:r>
        <w:t>5, du RMUE (16/12/2010, T-357/08, BOTOCYL/BOTOX, EU:T:2010:529, § 41; 16/12/2010, T-345/08, BOTOLIST/BOTOX, EU:T:2010:529,</w:t>
      </w:r>
      <w:r>
        <w:rPr>
          <w:spacing w:val="40"/>
        </w:rPr>
        <w:t xml:space="preserve"> </w:t>
      </w:r>
      <w:r>
        <w:t>§ 41).</w:t>
      </w:r>
    </w:p>
    <w:p w14:paraId="03033710" w14:textId="77777777" w:rsidR="00E32F98" w:rsidRDefault="00E32F98">
      <w:pPr>
        <w:pStyle w:val="Corpsdetexte"/>
        <w:spacing w:before="1"/>
      </w:pPr>
    </w:p>
    <w:p w14:paraId="2D6420BA" w14:textId="77777777" w:rsidR="00E32F98" w:rsidRDefault="00000000">
      <w:pPr>
        <w:pStyle w:val="Titre2"/>
        <w:numPr>
          <w:ilvl w:val="0"/>
          <w:numId w:val="1"/>
        </w:numPr>
        <w:tabs>
          <w:tab w:val="left" w:pos="419"/>
        </w:tabs>
        <w:ind w:left="419" w:hanging="253"/>
      </w:pPr>
      <w:r>
        <w:t>Renommée</w:t>
      </w:r>
      <w:r>
        <w:rPr>
          <w:spacing w:val="-2"/>
        </w:rPr>
        <w:t xml:space="preserve"> </w:t>
      </w:r>
      <w:r>
        <w:t>de</w:t>
      </w:r>
      <w:r>
        <w:rPr>
          <w:spacing w:val="15"/>
        </w:rPr>
        <w:t xml:space="preserve"> </w:t>
      </w:r>
      <w:r>
        <w:t>la</w:t>
      </w:r>
      <w:r>
        <w:rPr>
          <w:spacing w:val="-1"/>
        </w:rPr>
        <w:t xml:space="preserve"> </w:t>
      </w:r>
      <w:r>
        <w:t>marque</w:t>
      </w:r>
      <w:r>
        <w:rPr>
          <w:spacing w:val="15"/>
        </w:rPr>
        <w:t xml:space="preserve"> </w:t>
      </w:r>
      <w:r>
        <w:t>antérieure</w:t>
      </w:r>
      <w:r>
        <w:rPr>
          <w:spacing w:val="-1"/>
        </w:rPr>
        <w:t xml:space="preserve"> </w:t>
      </w:r>
      <w:r>
        <w:t>et</w:t>
      </w:r>
      <w:r>
        <w:rPr>
          <w:spacing w:val="-13"/>
        </w:rPr>
        <w:t xml:space="preserve"> </w:t>
      </w:r>
      <w:r>
        <w:t>appréciation</w:t>
      </w:r>
      <w:r>
        <w:rPr>
          <w:spacing w:val="-14"/>
        </w:rPr>
        <w:t xml:space="preserve"> </w:t>
      </w:r>
      <w:r>
        <w:t>de</w:t>
      </w:r>
      <w:r>
        <w:rPr>
          <w:spacing w:val="-2"/>
        </w:rPr>
        <w:t xml:space="preserve"> </w:t>
      </w:r>
      <w:r>
        <w:t>la</w:t>
      </w:r>
      <w:r>
        <w:rPr>
          <w:spacing w:val="-18"/>
        </w:rPr>
        <w:t xml:space="preserve"> </w:t>
      </w:r>
      <w:r>
        <w:t>preuve</w:t>
      </w:r>
      <w:r>
        <w:rPr>
          <w:spacing w:val="-1"/>
        </w:rPr>
        <w:t xml:space="preserve"> </w:t>
      </w:r>
      <w:r>
        <w:t>de</w:t>
      </w:r>
      <w:r>
        <w:rPr>
          <w:spacing w:val="-1"/>
        </w:rPr>
        <w:t xml:space="preserve"> </w:t>
      </w:r>
      <w:r>
        <w:rPr>
          <w:spacing w:val="-2"/>
        </w:rPr>
        <w:t>l’usage</w:t>
      </w:r>
    </w:p>
    <w:p w14:paraId="75485716" w14:textId="77777777" w:rsidR="00E32F98" w:rsidRDefault="00000000">
      <w:pPr>
        <w:pStyle w:val="Titre3"/>
        <w:spacing w:before="243"/>
      </w:pPr>
      <w:r>
        <w:rPr>
          <w:rFonts w:ascii="Arial MT" w:hAnsi="Arial MT"/>
          <w:b w:val="0"/>
          <w:i w:val="0"/>
        </w:rPr>
        <w:t>—</w:t>
      </w:r>
      <w:r>
        <w:rPr>
          <w:rFonts w:ascii="Arial MT" w:hAnsi="Arial MT"/>
          <w:b w:val="0"/>
          <w:i w:val="0"/>
          <w:spacing w:val="70"/>
        </w:rPr>
        <w:t xml:space="preserve"> </w:t>
      </w:r>
      <w:r>
        <w:t>Détails</w:t>
      </w:r>
      <w:r>
        <w:rPr>
          <w:spacing w:val="-9"/>
        </w:rPr>
        <w:t xml:space="preserve"> </w:t>
      </w:r>
      <w:r>
        <w:t>de</w:t>
      </w:r>
      <w:r>
        <w:rPr>
          <w:spacing w:val="-8"/>
        </w:rPr>
        <w:t xml:space="preserve"> </w:t>
      </w:r>
      <w:r>
        <w:t>l’analyse</w:t>
      </w:r>
      <w:r>
        <w:rPr>
          <w:spacing w:val="7"/>
        </w:rPr>
        <w:t xml:space="preserve"> </w:t>
      </w:r>
      <w:r>
        <w:t>de</w:t>
      </w:r>
      <w:r>
        <w:rPr>
          <w:spacing w:val="6"/>
        </w:rPr>
        <w:t xml:space="preserve"> </w:t>
      </w:r>
      <w:r>
        <w:t>la</w:t>
      </w:r>
      <w:r>
        <w:rPr>
          <w:spacing w:val="-8"/>
        </w:rPr>
        <w:t xml:space="preserve"> </w:t>
      </w:r>
      <w:r>
        <w:rPr>
          <w:spacing w:val="-2"/>
        </w:rPr>
        <w:t>renommée</w:t>
      </w:r>
    </w:p>
    <w:p w14:paraId="7341DDD3" w14:textId="77777777" w:rsidR="00E32F98" w:rsidRDefault="00E32F98">
      <w:pPr>
        <w:pStyle w:val="Corpsdetexte"/>
        <w:spacing w:before="4"/>
        <w:rPr>
          <w:rFonts w:ascii="Arial"/>
          <w:b/>
          <w:i/>
        </w:rPr>
      </w:pPr>
    </w:p>
    <w:p w14:paraId="40E7EB27" w14:textId="77777777" w:rsidR="00E32F98" w:rsidRDefault="00000000">
      <w:pPr>
        <w:pStyle w:val="Corpsdetexte"/>
        <w:spacing w:line="242" w:lineRule="auto"/>
        <w:ind w:left="166" w:right="157"/>
        <w:jc w:val="both"/>
      </w:pPr>
      <w:r>
        <w:t>La renommée suppose un seuil de connaissance qui est atteint uniquement lorsque la marque antérieure est connue d’une part significative</w:t>
      </w:r>
      <w:r>
        <w:rPr>
          <w:spacing w:val="-13"/>
        </w:rPr>
        <w:t xml:space="preserve"> </w:t>
      </w:r>
      <w:r>
        <w:t>du</w:t>
      </w:r>
      <w:r>
        <w:rPr>
          <w:spacing w:val="-13"/>
        </w:rPr>
        <w:t xml:space="preserve"> </w:t>
      </w:r>
      <w:r>
        <w:t>public</w:t>
      </w:r>
      <w:r>
        <w:rPr>
          <w:spacing w:val="-1"/>
        </w:rPr>
        <w:t xml:space="preserve"> </w:t>
      </w:r>
      <w:r>
        <w:t>pertinent</w:t>
      </w:r>
      <w:r>
        <w:rPr>
          <w:spacing w:val="-10"/>
        </w:rPr>
        <w:t xml:space="preserve"> </w:t>
      </w:r>
      <w:r>
        <w:t>pour</w:t>
      </w:r>
      <w:r>
        <w:rPr>
          <w:spacing w:val="-8"/>
        </w:rPr>
        <w:t xml:space="preserve"> </w:t>
      </w:r>
      <w:r>
        <w:t>les</w:t>
      </w:r>
      <w:r>
        <w:rPr>
          <w:spacing w:val="-1"/>
        </w:rPr>
        <w:t xml:space="preserve"> </w:t>
      </w:r>
      <w:r>
        <w:t>produits</w:t>
      </w:r>
      <w:r>
        <w:rPr>
          <w:spacing w:val="-1"/>
        </w:rPr>
        <w:t xml:space="preserve"> </w:t>
      </w:r>
      <w:r>
        <w:t>ou services qu’elle couvre. Le public pertinent est, selon les produits ou services commercialisés,</w:t>
      </w:r>
      <w:r>
        <w:rPr>
          <w:spacing w:val="-5"/>
        </w:rPr>
        <w:t xml:space="preserve"> </w:t>
      </w:r>
      <w:r>
        <w:t>soit</w:t>
      </w:r>
      <w:r>
        <w:rPr>
          <w:spacing w:val="-5"/>
        </w:rPr>
        <w:t xml:space="preserve"> </w:t>
      </w:r>
      <w:r>
        <w:t>le grand public, soit un public plus spécialisé.</w:t>
      </w:r>
    </w:p>
    <w:p w14:paraId="1C35089E" w14:textId="77777777" w:rsidR="00E32F98" w:rsidRDefault="00E32F98">
      <w:pPr>
        <w:pStyle w:val="Corpsdetexte"/>
        <w:spacing w:line="242" w:lineRule="auto"/>
        <w:jc w:val="both"/>
        <w:sectPr w:rsidR="00E32F98">
          <w:pgSz w:w="11910" w:h="16850"/>
          <w:pgMar w:top="1000" w:right="1275" w:bottom="280" w:left="1275" w:header="727" w:footer="0" w:gutter="0"/>
          <w:cols w:space="720"/>
        </w:sectPr>
      </w:pPr>
    </w:p>
    <w:p w14:paraId="399859E2" w14:textId="77777777" w:rsidR="00E32F98" w:rsidRDefault="00000000">
      <w:pPr>
        <w:pStyle w:val="Corpsdetexte"/>
      </w:pPr>
      <w:r>
        <w:rPr>
          <w:noProof/>
        </w:rPr>
        <w:lastRenderedPageBreak/>
        <mc:AlternateContent>
          <mc:Choice Requires="wps">
            <w:drawing>
              <wp:anchor distT="0" distB="0" distL="0" distR="0" simplePos="0" relativeHeight="15744512" behindDoc="0" locked="0" layoutInCell="1" allowOverlap="1" wp14:anchorId="7EB6820A" wp14:editId="3AA7AFDF">
                <wp:simplePos x="0" y="0"/>
                <wp:positionH relativeFrom="page">
                  <wp:posOffset>270575</wp:posOffset>
                </wp:positionH>
                <wp:positionV relativeFrom="page">
                  <wp:posOffset>1118555</wp:posOffset>
                </wp:positionV>
                <wp:extent cx="146050" cy="921004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5C468316"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44512" type="#_x0000_t202" id="docshape68"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24BD0DB1" w14:textId="77777777" w:rsidR="00E32F98" w:rsidRDefault="00E32F98">
      <w:pPr>
        <w:pStyle w:val="Corpsdetexte"/>
        <w:spacing w:before="190"/>
      </w:pPr>
    </w:p>
    <w:p w14:paraId="03C309EF" w14:textId="77777777" w:rsidR="00E32F98" w:rsidRDefault="00000000">
      <w:pPr>
        <w:pStyle w:val="Corpsdetexte"/>
        <w:spacing w:line="237" w:lineRule="auto"/>
        <w:ind w:left="166" w:right="160"/>
        <w:jc w:val="both"/>
      </w:pPr>
      <w:r>
        <w:t>Dans le cadre d’une procédure de nullité, une demanderesse en nullité invoquant une renommée doit</w:t>
      </w:r>
      <w:r>
        <w:rPr>
          <w:spacing w:val="24"/>
        </w:rPr>
        <w:t xml:space="preserve"> </w:t>
      </w:r>
      <w:r>
        <w:t>prouver</w:t>
      </w:r>
      <w:r>
        <w:rPr>
          <w:spacing w:val="26"/>
        </w:rPr>
        <w:t xml:space="preserve"> </w:t>
      </w:r>
      <w:r>
        <w:t>que son droit</w:t>
      </w:r>
      <w:r>
        <w:rPr>
          <w:spacing w:val="24"/>
        </w:rPr>
        <w:t xml:space="preserve"> </w:t>
      </w:r>
      <w:r>
        <w:t>antérieur a acquis une renommée à la date de dépôt de</w:t>
      </w:r>
      <w:r>
        <w:rPr>
          <w:spacing w:val="40"/>
        </w:rPr>
        <w:t xml:space="preserve"> </w:t>
      </w:r>
      <w:r>
        <w:t>la MUE contestée, en tenant compte, le cas échéant, de toute priorité revendiquée (article 60, paragraphe 1, deuxième alinéa, du RMUE).</w:t>
      </w:r>
    </w:p>
    <w:p w14:paraId="6C60C600" w14:textId="77777777" w:rsidR="00E32F98" w:rsidRDefault="00E32F98">
      <w:pPr>
        <w:pStyle w:val="Corpsdetexte"/>
        <w:spacing w:before="4"/>
      </w:pPr>
    </w:p>
    <w:p w14:paraId="5798E655" w14:textId="77777777" w:rsidR="00E32F98" w:rsidRDefault="00000000">
      <w:pPr>
        <w:pStyle w:val="Corpsdetexte"/>
        <w:spacing w:before="1"/>
        <w:ind w:left="166" w:right="154"/>
        <w:jc w:val="both"/>
      </w:pPr>
      <w:r>
        <w:t>En outre, la renommée de la marque antérieure doit toujours exister au moment où la décision sur la demande en nullité est rendue, étant donné que les conditions énoncées au premier alinéa de l’article</w:t>
      </w:r>
      <w:r>
        <w:rPr>
          <w:spacing w:val="-5"/>
        </w:rPr>
        <w:t xml:space="preserve"> </w:t>
      </w:r>
      <w:r>
        <w:t>60, paragraphe</w:t>
      </w:r>
      <w:r>
        <w:rPr>
          <w:spacing w:val="-7"/>
        </w:rPr>
        <w:t xml:space="preserve"> </w:t>
      </w:r>
      <w:r>
        <w:t>1, du RMUE sont formulées au présent. Par conséquent, le demandeur devrait également prouver la renommée de la</w:t>
      </w:r>
      <w:r>
        <w:rPr>
          <w:spacing w:val="-10"/>
        </w:rPr>
        <w:t xml:space="preserve"> </w:t>
      </w:r>
      <w:r>
        <w:t>marque</w:t>
      </w:r>
      <w:r>
        <w:rPr>
          <w:spacing w:val="-10"/>
        </w:rPr>
        <w:t xml:space="preserve"> </w:t>
      </w:r>
      <w:r>
        <w:t>antérieure au moment du dépôt de la demande en nullité, auquel cas, et sauf preuve du contraire, la division d’annulation supposera qu’elle continue d’exister au moment où la décision sur la nullité est rendue.</w:t>
      </w:r>
    </w:p>
    <w:p w14:paraId="1FC9404B" w14:textId="77777777" w:rsidR="00E32F98" w:rsidRDefault="00E32F98">
      <w:pPr>
        <w:pStyle w:val="Corpsdetexte"/>
        <w:spacing w:before="2"/>
      </w:pPr>
    </w:p>
    <w:p w14:paraId="06B448ED" w14:textId="77777777" w:rsidR="00E32F98" w:rsidRDefault="00000000">
      <w:pPr>
        <w:pStyle w:val="Corpsdetexte"/>
        <w:ind w:left="166" w:right="154"/>
        <w:jc w:val="both"/>
      </w:pPr>
      <w:r>
        <w:t xml:space="preserve">La marque contestée a été déposée le </w:t>
      </w:r>
      <w:r>
        <w:rPr>
          <w:rFonts w:ascii="Arial" w:hAnsi="Arial"/>
          <w:b/>
        </w:rPr>
        <w:t>18/03/2021</w:t>
      </w:r>
      <w:r>
        <w:t xml:space="preserve">. Par conséquent, la demanderesse était tenue de prouver que la marque sur laquelle la demande est fondée </w:t>
      </w:r>
      <w:r>
        <w:rPr>
          <w:rFonts w:ascii="Arial" w:hAnsi="Arial"/>
          <w:b/>
        </w:rPr>
        <w:t xml:space="preserve">avait acquis une renommée avant cette date </w:t>
      </w:r>
      <w:r>
        <w:t xml:space="preserve">et qu’elle continuait d’exister au moment du dépôt de la demande en nullité, </w:t>
      </w:r>
      <w:r>
        <w:rPr>
          <w:rFonts w:ascii="Arial" w:hAnsi="Arial"/>
          <w:b/>
        </w:rPr>
        <w:t>à savoir le 31/03/2023</w:t>
      </w:r>
      <w:r>
        <w:t>. Les éléments de preuve doivent également prouver que la renommée a été acquise pour les produits pour lesquels la</w:t>
      </w:r>
      <w:r>
        <w:rPr>
          <w:spacing w:val="-8"/>
        </w:rPr>
        <w:t xml:space="preserve"> </w:t>
      </w:r>
      <w:r>
        <w:t>demanderesse</w:t>
      </w:r>
      <w:r>
        <w:rPr>
          <w:spacing w:val="-8"/>
        </w:rPr>
        <w:t xml:space="preserve"> </w:t>
      </w:r>
      <w:r>
        <w:t xml:space="preserve">a revendiqué une renommée, à savoir tous les produits, déjà énumérés dans la section précédente. La demande est dirigée, respectivement, contre les produits tels qu’énumérés </w:t>
      </w:r>
      <w:r>
        <w:rPr>
          <w:spacing w:val="-2"/>
        </w:rPr>
        <w:t>précédemment.</w:t>
      </w:r>
    </w:p>
    <w:p w14:paraId="4D5E711B" w14:textId="77777777" w:rsidR="00E32F98" w:rsidRDefault="00E32F98">
      <w:pPr>
        <w:pStyle w:val="Corpsdetexte"/>
        <w:spacing w:before="7"/>
      </w:pPr>
    </w:p>
    <w:p w14:paraId="3B25FDD0" w14:textId="77777777" w:rsidR="00E32F98" w:rsidRDefault="00000000">
      <w:pPr>
        <w:pStyle w:val="Corpsdetexte"/>
        <w:spacing w:line="237" w:lineRule="auto"/>
        <w:ind w:left="166" w:right="148"/>
        <w:jc w:val="both"/>
      </w:pPr>
      <w:r>
        <w:t>Pour déterminer le niveau de renommée de la marque, il convient de prendre en considération tous</w:t>
      </w:r>
      <w:r>
        <w:rPr>
          <w:spacing w:val="33"/>
        </w:rPr>
        <w:t xml:space="preserve"> </w:t>
      </w:r>
      <w:r>
        <w:t>les</w:t>
      </w:r>
      <w:r>
        <w:rPr>
          <w:spacing w:val="33"/>
        </w:rPr>
        <w:t xml:space="preserve"> </w:t>
      </w:r>
      <w:r>
        <w:t xml:space="preserve">éléments pertinents de la cause, notamment et en particulier, la part de marché détenue par la marque, l’intensité, l’étendue géographique et la durée de son usage ainsi que l’importance des investissements réalisés par l’entreprise pour la </w:t>
      </w:r>
      <w:r>
        <w:rPr>
          <w:spacing w:val="-2"/>
        </w:rPr>
        <w:t>promouvoir;</w:t>
      </w:r>
    </w:p>
    <w:p w14:paraId="3B86E8B5" w14:textId="77777777" w:rsidR="00E32F98" w:rsidRDefault="00E32F98">
      <w:pPr>
        <w:pStyle w:val="Corpsdetexte"/>
        <w:spacing w:before="10"/>
      </w:pPr>
    </w:p>
    <w:p w14:paraId="419A40EB" w14:textId="77777777" w:rsidR="00E32F98" w:rsidRDefault="00000000">
      <w:pPr>
        <w:pStyle w:val="Corpsdetexte"/>
        <w:spacing w:line="242" w:lineRule="auto"/>
        <w:ind w:left="166" w:right="148"/>
        <w:jc w:val="both"/>
      </w:pPr>
      <w:r>
        <w:t>Les éléments de preuve à prendre en considération en ce qui concerne la revendication de renommée de la demanderesse étaient énumérés précédemment,</w:t>
      </w:r>
      <w:r>
        <w:rPr>
          <w:spacing w:val="-6"/>
        </w:rPr>
        <w:t xml:space="preserve"> </w:t>
      </w:r>
      <w:r>
        <w:t>et</w:t>
      </w:r>
      <w:r>
        <w:rPr>
          <w:spacing w:val="-6"/>
        </w:rPr>
        <w:t xml:space="preserve"> </w:t>
      </w:r>
      <w:r>
        <w:t>la</w:t>
      </w:r>
      <w:r>
        <w:rPr>
          <w:spacing w:val="-8"/>
        </w:rPr>
        <w:t xml:space="preserve"> </w:t>
      </w:r>
      <w:r>
        <w:t>division</w:t>
      </w:r>
      <w:r>
        <w:rPr>
          <w:spacing w:val="-8"/>
        </w:rPr>
        <w:t xml:space="preserve"> </w:t>
      </w:r>
      <w:r>
        <w:t>d’annulation a dûment tenu compte</w:t>
      </w:r>
      <w:r>
        <w:rPr>
          <w:spacing w:val="-16"/>
        </w:rPr>
        <w:t xml:space="preserve"> </w:t>
      </w:r>
      <w:r>
        <w:t>de tous les documents et déclarations</w:t>
      </w:r>
      <w:r>
        <w:rPr>
          <w:spacing w:val="34"/>
        </w:rPr>
        <w:t xml:space="preserve"> </w:t>
      </w:r>
      <w:r>
        <w:t>possibles de la partie.</w:t>
      </w:r>
    </w:p>
    <w:p w14:paraId="55B9570E" w14:textId="77777777" w:rsidR="00E32F98" w:rsidRDefault="00000000">
      <w:pPr>
        <w:pStyle w:val="Titre3"/>
        <w:spacing w:before="239"/>
      </w:pPr>
      <w:r>
        <w:rPr>
          <w:rFonts w:ascii="Arial MT" w:hAnsi="Arial MT"/>
          <w:b w:val="0"/>
          <w:i w:val="0"/>
        </w:rPr>
        <w:t>—</w:t>
      </w:r>
      <w:r>
        <w:rPr>
          <w:rFonts w:ascii="Arial MT" w:hAnsi="Arial MT"/>
          <w:b w:val="0"/>
          <w:i w:val="0"/>
          <w:spacing w:val="71"/>
        </w:rPr>
        <w:t xml:space="preserve"> </w:t>
      </w:r>
      <w:r>
        <w:t>Détails</w:t>
      </w:r>
      <w:r>
        <w:rPr>
          <w:spacing w:val="-7"/>
        </w:rPr>
        <w:t xml:space="preserve"> </w:t>
      </w:r>
      <w:r>
        <w:t>de</w:t>
      </w:r>
      <w:r>
        <w:rPr>
          <w:spacing w:val="-8"/>
        </w:rPr>
        <w:t xml:space="preserve"> </w:t>
      </w:r>
      <w:r>
        <w:t>la</w:t>
      </w:r>
      <w:r>
        <w:rPr>
          <w:spacing w:val="8"/>
        </w:rPr>
        <w:t xml:space="preserve"> </w:t>
      </w:r>
      <w:r>
        <w:t>demande</w:t>
      </w:r>
      <w:r>
        <w:rPr>
          <w:spacing w:val="-22"/>
        </w:rPr>
        <w:t xml:space="preserve"> </w:t>
      </w:r>
      <w:r>
        <w:t>de</w:t>
      </w:r>
      <w:r>
        <w:rPr>
          <w:spacing w:val="-8"/>
        </w:rPr>
        <w:t xml:space="preserve"> </w:t>
      </w:r>
      <w:r>
        <w:t>preuve</w:t>
      </w:r>
      <w:r>
        <w:rPr>
          <w:spacing w:val="7"/>
        </w:rPr>
        <w:t xml:space="preserve"> </w:t>
      </w:r>
      <w:r>
        <w:t>de</w:t>
      </w:r>
      <w:r>
        <w:rPr>
          <w:spacing w:val="-7"/>
        </w:rPr>
        <w:t xml:space="preserve"> </w:t>
      </w:r>
      <w:r>
        <w:t>l’usage</w:t>
      </w:r>
      <w:r>
        <w:rPr>
          <w:spacing w:val="-7"/>
        </w:rPr>
        <w:t xml:space="preserve"> </w:t>
      </w:r>
      <w:r>
        <w:t>et</w:t>
      </w:r>
      <w:r>
        <w:rPr>
          <w:spacing w:val="12"/>
        </w:rPr>
        <w:t xml:space="preserve"> </w:t>
      </w:r>
      <w:r>
        <w:t>appréciation</w:t>
      </w:r>
      <w:r>
        <w:rPr>
          <w:spacing w:val="-5"/>
        </w:rPr>
        <w:t xml:space="preserve"> </w:t>
      </w:r>
      <w:r>
        <w:t>des</w:t>
      </w:r>
      <w:r>
        <w:rPr>
          <w:spacing w:val="-7"/>
        </w:rPr>
        <w:t xml:space="preserve"> </w:t>
      </w:r>
      <w:r>
        <w:rPr>
          <w:spacing w:val="-2"/>
        </w:rPr>
        <w:t>facteurs</w:t>
      </w:r>
    </w:p>
    <w:p w14:paraId="424D8C34" w14:textId="77777777" w:rsidR="00E32F98" w:rsidRDefault="00E32F98">
      <w:pPr>
        <w:pStyle w:val="Corpsdetexte"/>
        <w:spacing w:before="5"/>
        <w:rPr>
          <w:rFonts w:ascii="Arial"/>
          <w:b/>
          <w:i/>
        </w:rPr>
      </w:pPr>
    </w:p>
    <w:p w14:paraId="340871BF" w14:textId="77777777" w:rsidR="00E32F98" w:rsidRDefault="00000000">
      <w:pPr>
        <w:pStyle w:val="Corpsdetexte"/>
        <w:ind w:left="166" w:right="149"/>
        <w:jc w:val="both"/>
      </w:pPr>
      <w:r>
        <w:t>Conformément à l’article</w:t>
      </w:r>
      <w:r>
        <w:rPr>
          <w:spacing w:val="-6"/>
        </w:rPr>
        <w:t xml:space="preserve"> </w:t>
      </w:r>
      <w:r>
        <w:t>64, paragraphe</w:t>
      </w:r>
      <w:r>
        <w:rPr>
          <w:spacing w:val="-7"/>
        </w:rPr>
        <w:t xml:space="preserve"> </w:t>
      </w:r>
      <w:r>
        <w:t>2 et (3) du RMUE, sur requête de la titulaire de la MUE, la demanderesse apporte la preuve que, au cours des cinq années qui précèdent la date de la demande en nullité, la marque antérieure a fait</w:t>
      </w:r>
      <w:r>
        <w:rPr>
          <w:spacing w:val="-8"/>
        </w:rPr>
        <w:t xml:space="preserve"> </w:t>
      </w:r>
      <w:r>
        <w:t>l’objet</w:t>
      </w:r>
      <w:r>
        <w:rPr>
          <w:spacing w:val="-8"/>
        </w:rPr>
        <w:t xml:space="preserve"> </w:t>
      </w:r>
      <w:r>
        <w:t>d’un</w:t>
      </w:r>
      <w:r>
        <w:rPr>
          <w:spacing w:val="-10"/>
        </w:rPr>
        <w:t xml:space="preserve"> </w:t>
      </w:r>
      <w:r>
        <w:t>usage</w:t>
      </w:r>
      <w:r>
        <w:rPr>
          <w:spacing w:val="-10"/>
        </w:rPr>
        <w:t xml:space="preserve"> </w:t>
      </w:r>
      <w:r>
        <w:t>sérieux</w:t>
      </w:r>
      <w:r>
        <w:rPr>
          <w:spacing w:val="-12"/>
        </w:rPr>
        <w:t xml:space="preserve"> </w:t>
      </w:r>
      <w:r>
        <w:t>dans les territoires dans lesquels elle est protégée</w:t>
      </w:r>
      <w:r>
        <w:rPr>
          <w:spacing w:val="-12"/>
        </w:rPr>
        <w:t xml:space="preserve"> </w:t>
      </w:r>
      <w:r>
        <w:t>pour</w:t>
      </w:r>
      <w:r>
        <w:rPr>
          <w:spacing w:val="-7"/>
        </w:rPr>
        <w:t xml:space="preserve"> </w:t>
      </w:r>
      <w:r>
        <w:t>les produits ou</w:t>
      </w:r>
      <w:r>
        <w:rPr>
          <w:spacing w:val="-12"/>
        </w:rPr>
        <w:t xml:space="preserve"> </w:t>
      </w:r>
      <w:r>
        <w:t>les services pour</w:t>
      </w:r>
      <w:r>
        <w:rPr>
          <w:spacing w:val="-7"/>
        </w:rPr>
        <w:t xml:space="preserve"> </w:t>
      </w:r>
      <w:r>
        <w:t>lesquels elle est enregistrée et sur lesquels la demanderesse</w:t>
      </w:r>
      <w:r>
        <w:rPr>
          <w:spacing w:val="-6"/>
        </w:rPr>
        <w:t xml:space="preserve"> </w:t>
      </w:r>
      <w:r>
        <w:t>fonde</w:t>
      </w:r>
      <w:r>
        <w:rPr>
          <w:spacing w:val="-6"/>
        </w:rPr>
        <w:t xml:space="preserve"> </w:t>
      </w:r>
      <w:r>
        <w:t>sa</w:t>
      </w:r>
      <w:r>
        <w:rPr>
          <w:spacing w:val="-6"/>
        </w:rPr>
        <w:t xml:space="preserve"> </w:t>
      </w:r>
      <w:r>
        <w:t>demande,</w:t>
      </w:r>
      <w:r>
        <w:rPr>
          <w:spacing w:val="-3"/>
        </w:rPr>
        <w:t xml:space="preserve"> </w:t>
      </w:r>
      <w:r>
        <w:t>ou</w:t>
      </w:r>
      <w:r>
        <w:rPr>
          <w:spacing w:val="-6"/>
        </w:rPr>
        <w:t xml:space="preserve"> </w:t>
      </w:r>
      <w:r>
        <w:t>qu’il</w:t>
      </w:r>
      <w:r>
        <w:rPr>
          <w:spacing w:val="-6"/>
        </w:rPr>
        <w:t xml:space="preserve"> </w:t>
      </w:r>
      <w:r>
        <w:t>existe</w:t>
      </w:r>
      <w:r>
        <w:rPr>
          <w:spacing w:val="-6"/>
        </w:rPr>
        <w:t xml:space="preserve"> </w:t>
      </w:r>
      <w:r>
        <w:t>de</w:t>
      </w:r>
      <w:r>
        <w:rPr>
          <w:spacing w:val="-6"/>
        </w:rPr>
        <w:t xml:space="preserve"> </w:t>
      </w:r>
      <w:r>
        <w:t>justes motifs pour le non-usage. La marque</w:t>
      </w:r>
      <w:r>
        <w:rPr>
          <w:spacing w:val="-7"/>
        </w:rPr>
        <w:t xml:space="preserve"> </w:t>
      </w:r>
      <w:r>
        <w:t>antérieure</w:t>
      </w:r>
      <w:r>
        <w:rPr>
          <w:spacing w:val="-7"/>
        </w:rPr>
        <w:t xml:space="preserve"> </w:t>
      </w:r>
      <w:r>
        <w:t>est</w:t>
      </w:r>
      <w:r>
        <w:rPr>
          <w:spacing w:val="-4"/>
        </w:rPr>
        <w:t xml:space="preserve"> </w:t>
      </w:r>
      <w:r>
        <w:t>soumise</w:t>
      </w:r>
      <w:r>
        <w:rPr>
          <w:spacing w:val="-7"/>
        </w:rPr>
        <w:t xml:space="preserve"> </w:t>
      </w:r>
      <w:r>
        <w:t>à</w:t>
      </w:r>
      <w:r>
        <w:rPr>
          <w:spacing w:val="-7"/>
        </w:rPr>
        <w:t xml:space="preserve"> </w:t>
      </w:r>
      <w:r>
        <w:t>l’obligation</w:t>
      </w:r>
      <w:r>
        <w:rPr>
          <w:spacing w:val="-7"/>
        </w:rPr>
        <w:t xml:space="preserve"> </w:t>
      </w:r>
      <w:r>
        <w:t>d’usage</w:t>
      </w:r>
      <w:r>
        <w:rPr>
          <w:spacing w:val="-7"/>
        </w:rPr>
        <w:t xml:space="preserve"> </w:t>
      </w:r>
      <w:r>
        <w:t>si,</w:t>
      </w:r>
      <w:r>
        <w:rPr>
          <w:spacing w:val="-4"/>
        </w:rPr>
        <w:t xml:space="preserve"> </w:t>
      </w:r>
      <w:r>
        <w:t>à</w:t>
      </w:r>
      <w:r>
        <w:rPr>
          <w:spacing w:val="-7"/>
        </w:rPr>
        <w:t xml:space="preserve"> </w:t>
      </w:r>
      <w:r>
        <w:t>cette date, elle était enregistrée depuis cinq ans au moins. Si, à la date de dépôt ou, le cas échéant, à la date de priorité de la MUE contestée, la marque antérieure était enregistrée depuis cinq ans au moins, le demandeur apporte également la preuve que les conditions énoncées à l’article</w:t>
      </w:r>
      <w:r>
        <w:rPr>
          <w:spacing w:val="-8"/>
        </w:rPr>
        <w:t xml:space="preserve"> </w:t>
      </w:r>
      <w:r>
        <w:t>47, paragraphe</w:t>
      </w:r>
      <w:r>
        <w:rPr>
          <w:spacing w:val="-6"/>
        </w:rPr>
        <w:t xml:space="preserve"> </w:t>
      </w:r>
      <w:r>
        <w:t>2, du RMUE étaient remplies à cette date. La même disposition</w:t>
      </w:r>
      <w:r>
        <w:rPr>
          <w:spacing w:val="-2"/>
        </w:rPr>
        <w:t xml:space="preserve"> </w:t>
      </w:r>
      <w:r>
        <w:t>précise</w:t>
      </w:r>
      <w:r>
        <w:rPr>
          <w:spacing w:val="-2"/>
        </w:rPr>
        <w:t xml:space="preserve"> </w:t>
      </w:r>
      <w:r>
        <w:t>que, à défaut d’une telle preuve, la</w:t>
      </w:r>
      <w:r>
        <w:rPr>
          <w:spacing w:val="-2"/>
        </w:rPr>
        <w:t xml:space="preserve"> </w:t>
      </w:r>
      <w:r>
        <w:t>demande</w:t>
      </w:r>
      <w:r>
        <w:rPr>
          <w:spacing w:val="-2"/>
        </w:rPr>
        <w:t xml:space="preserve"> </w:t>
      </w:r>
      <w:r>
        <w:t>en nullité est rejetée.</w:t>
      </w:r>
    </w:p>
    <w:p w14:paraId="43007179" w14:textId="77777777" w:rsidR="00E32F98" w:rsidRDefault="00E32F98">
      <w:pPr>
        <w:pStyle w:val="Corpsdetexte"/>
        <w:spacing w:before="13"/>
      </w:pPr>
    </w:p>
    <w:p w14:paraId="030DF492" w14:textId="77777777" w:rsidR="00E32F98" w:rsidRDefault="00000000">
      <w:pPr>
        <w:pStyle w:val="Corpsdetexte"/>
        <w:spacing w:before="1" w:line="237" w:lineRule="auto"/>
        <w:ind w:left="166" w:right="150"/>
        <w:jc w:val="both"/>
      </w:pPr>
      <w:r>
        <w:t>En l’espèce, la titulaire de la MUE a invité la demanderesse à apporter la preuve de l’usage de la marque sur laquelle la demande est</w:t>
      </w:r>
      <w:r>
        <w:rPr>
          <w:spacing w:val="-5"/>
        </w:rPr>
        <w:t xml:space="preserve"> </w:t>
      </w:r>
      <w:r>
        <w:t>fondée.</w:t>
      </w:r>
      <w:r>
        <w:rPr>
          <w:spacing w:val="-5"/>
        </w:rPr>
        <w:t xml:space="preserve"> </w:t>
      </w:r>
      <w:r>
        <w:t>La</w:t>
      </w:r>
      <w:r>
        <w:rPr>
          <w:spacing w:val="-8"/>
        </w:rPr>
        <w:t xml:space="preserve"> </w:t>
      </w:r>
      <w:r>
        <w:t>demande</w:t>
      </w:r>
      <w:r>
        <w:rPr>
          <w:spacing w:val="-8"/>
        </w:rPr>
        <w:t xml:space="preserve"> </w:t>
      </w:r>
      <w:r>
        <w:t>a</w:t>
      </w:r>
      <w:r>
        <w:rPr>
          <w:spacing w:val="-8"/>
        </w:rPr>
        <w:t xml:space="preserve"> </w:t>
      </w:r>
      <w:r>
        <w:t>été</w:t>
      </w:r>
      <w:r>
        <w:rPr>
          <w:spacing w:val="-8"/>
        </w:rPr>
        <w:t xml:space="preserve"> </w:t>
      </w:r>
      <w:r>
        <w:t>déposée</w:t>
      </w:r>
      <w:r>
        <w:rPr>
          <w:spacing w:val="-8"/>
        </w:rPr>
        <w:t xml:space="preserve"> </w:t>
      </w:r>
      <w:r>
        <w:t>en</w:t>
      </w:r>
      <w:r>
        <w:rPr>
          <w:spacing w:val="-8"/>
        </w:rPr>
        <w:t xml:space="preserve"> </w:t>
      </w:r>
      <w:r>
        <w:t>temps utile et est recevable étant donné que la marque antérieure a été enregistrée le28/01/2008, soit plus de</w:t>
      </w:r>
      <w:r>
        <w:rPr>
          <w:spacing w:val="-1"/>
        </w:rPr>
        <w:t xml:space="preserve"> </w:t>
      </w:r>
      <w:r>
        <w:t>cinq</w:t>
      </w:r>
      <w:r>
        <w:rPr>
          <w:spacing w:val="-1"/>
        </w:rPr>
        <w:t xml:space="preserve"> </w:t>
      </w:r>
      <w:r>
        <w:t>ans avant la date</w:t>
      </w:r>
      <w:r>
        <w:rPr>
          <w:spacing w:val="-1"/>
        </w:rPr>
        <w:t xml:space="preserve"> </w:t>
      </w:r>
      <w:r>
        <w:t>de la</w:t>
      </w:r>
      <w:r>
        <w:rPr>
          <w:spacing w:val="-1"/>
        </w:rPr>
        <w:t xml:space="preserve"> </w:t>
      </w:r>
      <w:r>
        <w:t>demande</w:t>
      </w:r>
      <w:r>
        <w:rPr>
          <w:spacing w:val="-1"/>
        </w:rPr>
        <w:t xml:space="preserve"> </w:t>
      </w:r>
      <w:r>
        <w:t>en nullité (31/03/2023).</w:t>
      </w:r>
    </w:p>
    <w:p w14:paraId="496C2EB3" w14:textId="77777777" w:rsidR="00E32F98" w:rsidRDefault="00E32F98">
      <w:pPr>
        <w:pStyle w:val="Corpsdetexte"/>
        <w:spacing w:before="4"/>
      </w:pPr>
    </w:p>
    <w:p w14:paraId="56486291" w14:textId="77777777" w:rsidR="00E32F98" w:rsidRDefault="00000000">
      <w:pPr>
        <w:pStyle w:val="Corpsdetexte"/>
        <w:spacing w:line="242" w:lineRule="auto"/>
        <w:ind w:left="166" w:right="150"/>
        <w:jc w:val="both"/>
      </w:pPr>
      <w:r>
        <w:t>La demande en nullité a été déposée le 31/03/2023. La date de dépôt de la marque contestée est le 18/03/2021. La demanderesse était donc tenue de prouver que la marque sur laquelle la demande est fondée a fait l’objet d’un usage</w:t>
      </w:r>
      <w:r>
        <w:rPr>
          <w:spacing w:val="-13"/>
        </w:rPr>
        <w:t xml:space="preserve"> </w:t>
      </w:r>
      <w:r>
        <w:t>sérieux</w:t>
      </w:r>
      <w:r>
        <w:rPr>
          <w:spacing w:val="-14"/>
        </w:rPr>
        <w:t xml:space="preserve"> </w:t>
      </w:r>
      <w:r>
        <w:t>dans</w:t>
      </w:r>
      <w:r>
        <w:rPr>
          <w:spacing w:val="-1"/>
        </w:rPr>
        <w:t xml:space="preserve"> </w:t>
      </w:r>
      <w:r>
        <w:t>l’Union</w:t>
      </w:r>
      <w:r>
        <w:rPr>
          <w:spacing w:val="-13"/>
        </w:rPr>
        <w:t xml:space="preserve"> </w:t>
      </w:r>
      <w:r>
        <w:t>européenne</w:t>
      </w:r>
    </w:p>
    <w:p w14:paraId="31FA47D7" w14:textId="77777777" w:rsidR="00E32F98" w:rsidRDefault="00E32F98">
      <w:pPr>
        <w:pStyle w:val="Corpsdetexte"/>
        <w:spacing w:line="242" w:lineRule="auto"/>
        <w:jc w:val="both"/>
        <w:sectPr w:rsidR="00E32F98">
          <w:pgSz w:w="11910" w:h="16850"/>
          <w:pgMar w:top="1000" w:right="1275" w:bottom="280" w:left="1275" w:header="727" w:footer="0" w:gutter="0"/>
          <w:cols w:space="720"/>
        </w:sectPr>
      </w:pPr>
    </w:p>
    <w:p w14:paraId="69A2E3E9" w14:textId="77777777" w:rsidR="00E32F98" w:rsidRDefault="00000000">
      <w:pPr>
        <w:pStyle w:val="Corpsdetexte"/>
        <w:spacing w:before="188"/>
      </w:pPr>
      <w:r>
        <w:rPr>
          <w:noProof/>
        </w:rPr>
        <w:lastRenderedPageBreak/>
        <mc:AlternateContent>
          <mc:Choice Requires="wps">
            <w:drawing>
              <wp:anchor distT="0" distB="0" distL="0" distR="0" simplePos="0" relativeHeight="15745024" behindDoc="0" locked="0" layoutInCell="1" allowOverlap="1" wp14:anchorId="4E12C9C4" wp14:editId="41D3302E">
                <wp:simplePos x="0" y="0"/>
                <wp:positionH relativeFrom="page">
                  <wp:posOffset>270575</wp:posOffset>
                </wp:positionH>
                <wp:positionV relativeFrom="page">
                  <wp:posOffset>1118555</wp:posOffset>
                </wp:positionV>
                <wp:extent cx="146050" cy="921004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15D55AF5"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45024" type="#_x0000_t202" id="docshape69"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290E558F" w14:textId="77777777" w:rsidR="00E32F98" w:rsidRDefault="00000000">
      <w:pPr>
        <w:spacing w:line="237" w:lineRule="auto"/>
        <w:ind w:left="166" w:right="149"/>
        <w:jc w:val="both"/>
      </w:pPr>
      <w:r>
        <w:rPr>
          <w:rFonts w:ascii="Arial" w:hAnsi="Arial"/>
          <w:b/>
          <w:u w:val="thick"/>
        </w:rPr>
        <w:t>du 31/03/2018 au 30/03/2023</w:t>
      </w:r>
      <w:r>
        <w:rPr>
          <w:rFonts w:ascii="Arial" w:hAnsi="Arial"/>
          <w:b/>
        </w:rPr>
        <w:t xml:space="preserve"> </w:t>
      </w:r>
      <w:r>
        <w:t>inclus.</w:t>
      </w:r>
      <w:r>
        <w:rPr>
          <w:spacing w:val="-8"/>
        </w:rPr>
        <w:t xml:space="preserve"> </w:t>
      </w:r>
      <w:r>
        <w:t>Étant donné que la marque antérieure</w:t>
      </w:r>
      <w:r>
        <w:rPr>
          <w:spacing w:val="-12"/>
        </w:rPr>
        <w:t xml:space="preserve"> </w:t>
      </w:r>
      <w:r>
        <w:t>était</w:t>
      </w:r>
      <w:r>
        <w:rPr>
          <w:spacing w:val="-9"/>
        </w:rPr>
        <w:t xml:space="preserve"> </w:t>
      </w:r>
      <w:r>
        <w:t xml:space="preserve">enregistrée plus de cinq ans avant la date de dépôt de la marque contestée </w:t>
      </w:r>
      <w:r>
        <w:rPr>
          <w:rFonts w:ascii="Arial" w:hAnsi="Arial"/>
          <w:i/>
        </w:rPr>
        <w:t>(</w:t>
      </w:r>
      <w:r>
        <w:t xml:space="preserve">18/03/2021), l’usage de la marque antérieure devait également être démontré pour la période </w:t>
      </w:r>
      <w:r>
        <w:rPr>
          <w:rFonts w:ascii="Arial" w:hAnsi="Arial"/>
          <w:b/>
          <w:u w:val="thick"/>
        </w:rPr>
        <w:t>allant du 18/03/2016 au</w:t>
      </w:r>
      <w:r>
        <w:rPr>
          <w:rFonts w:ascii="Arial" w:hAnsi="Arial"/>
          <w:b/>
        </w:rPr>
        <w:t xml:space="preserve"> </w:t>
      </w:r>
      <w:r>
        <w:rPr>
          <w:rFonts w:ascii="Arial" w:hAnsi="Arial"/>
          <w:b/>
          <w:u w:val="thick"/>
        </w:rPr>
        <w:t>17/03/2021</w:t>
      </w:r>
      <w:r>
        <w:rPr>
          <w:rFonts w:ascii="Arial" w:hAnsi="Arial"/>
          <w:b/>
        </w:rPr>
        <w:t xml:space="preserve"> </w:t>
      </w:r>
      <w:r>
        <w:t>inclus.</w:t>
      </w:r>
    </w:p>
    <w:p w14:paraId="25F528B7" w14:textId="77777777" w:rsidR="00E32F98" w:rsidRDefault="00E32F98">
      <w:pPr>
        <w:pStyle w:val="Corpsdetexte"/>
        <w:spacing w:before="4"/>
      </w:pPr>
    </w:p>
    <w:p w14:paraId="4927BF2F" w14:textId="77777777" w:rsidR="00E32F98" w:rsidRDefault="00000000">
      <w:pPr>
        <w:pStyle w:val="Corpsdetexte"/>
        <w:spacing w:line="242" w:lineRule="auto"/>
        <w:ind w:left="166" w:right="163"/>
        <w:jc w:val="both"/>
      </w:pPr>
      <w:r>
        <w:t>En outre,</w:t>
      </w:r>
      <w:r>
        <w:rPr>
          <w:spacing w:val="21"/>
        </w:rPr>
        <w:t xml:space="preserve"> </w:t>
      </w:r>
      <w:r>
        <w:t>les éléments de preuve doivent démontrer l’usage de la marque pour les produits et services sur lesquels la demande est fondée, tels qu’ils sont déjà énumérés dans la section précédente.</w:t>
      </w:r>
    </w:p>
    <w:p w14:paraId="14DE4B96" w14:textId="77777777" w:rsidR="00E32F98" w:rsidRDefault="00E32F98">
      <w:pPr>
        <w:pStyle w:val="Corpsdetexte"/>
        <w:spacing w:before="3"/>
      </w:pPr>
    </w:p>
    <w:p w14:paraId="2F068758" w14:textId="77777777" w:rsidR="00E32F98" w:rsidRDefault="00000000">
      <w:pPr>
        <w:pStyle w:val="Corpsdetexte"/>
        <w:spacing w:before="1" w:line="237" w:lineRule="auto"/>
        <w:ind w:left="166" w:right="149"/>
        <w:jc w:val="both"/>
      </w:pPr>
      <w:r>
        <w:t>Conformément à l’article</w:t>
      </w:r>
      <w:r>
        <w:rPr>
          <w:spacing w:val="-7"/>
        </w:rPr>
        <w:t xml:space="preserve"> </w:t>
      </w:r>
      <w:r>
        <w:t>19, paragraphe</w:t>
      </w:r>
      <w:r>
        <w:rPr>
          <w:spacing w:val="-8"/>
        </w:rPr>
        <w:t xml:space="preserve"> </w:t>
      </w:r>
      <w:r>
        <w:t>2, du RDMUE, lu conjointement avec l’article</w:t>
      </w:r>
      <w:r>
        <w:rPr>
          <w:spacing w:val="-2"/>
        </w:rPr>
        <w:t xml:space="preserve"> </w:t>
      </w:r>
      <w:r>
        <w:t>10, paragraphe</w:t>
      </w:r>
      <w:r>
        <w:rPr>
          <w:spacing w:val="-11"/>
        </w:rPr>
        <w:t xml:space="preserve"> </w:t>
      </w:r>
      <w:r>
        <w:t>3, du RDMUE, la preuve de l’usage doit indiquer le lieu, la durée,</w:t>
      </w:r>
      <w:r>
        <w:rPr>
          <w:spacing w:val="-10"/>
        </w:rPr>
        <w:t xml:space="preserve"> </w:t>
      </w:r>
      <w:r>
        <w:t>l’importance</w:t>
      </w:r>
      <w:r>
        <w:rPr>
          <w:spacing w:val="-12"/>
        </w:rPr>
        <w:t xml:space="preserve"> </w:t>
      </w:r>
      <w:r>
        <w:t>et la nature de l’usage qui a été fait de la marque antérieure pour les produits et services pour lesquels elle est</w:t>
      </w:r>
      <w:r>
        <w:rPr>
          <w:spacing w:val="-10"/>
        </w:rPr>
        <w:t xml:space="preserve"> </w:t>
      </w:r>
      <w:r>
        <w:t>enregistrée et sur lesquels la demande est fondée.</w:t>
      </w:r>
    </w:p>
    <w:p w14:paraId="28830A3F" w14:textId="77777777" w:rsidR="00E32F98" w:rsidRDefault="00E32F98">
      <w:pPr>
        <w:pStyle w:val="Corpsdetexte"/>
        <w:spacing w:before="4"/>
      </w:pPr>
    </w:p>
    <w:p w14:paraId="462CCD1B" w14:textId="77777777" w:rsidR="00E32F98" w:rsidRDefault="00000000">
      <w:pPr>
        <w:pStyle w:val="Corpsdetexte"/>
        <w:ind w:left="166" w:right="144"/>
        <w:jc w:val="both"/>
      </w:pPr>
      <w:r>
        <w:t>Le 27/09/2023, conformément à l’article</w:t>
      </w:r>
      <w:r>
        <w:rPr>
          <w:spacing w:val="-3"/>
        </w:rPr>
        <w:t xml:space="preserve"> </w:t>
      </w:r>
      <w:r>
        <w:t>19, paragraphe</w:t>
      </w:r>
      <w:r>
        <w:rPr>
          <w:spacing w:val="-8"/>
        </w:rPr>
        <w:t xml:space="preserve"> </w:t>
      </w:r>
      <w:r>
        <w:t>2, du RDMUE, l’Office a donné à la demanderesse jusqu’au 02/12/2023 pour produire la preuve de l’usage de la marque antérieure.</w:t>
      </w:r>
      <w:r>
        <w:rPr>
          <w:spacing w:val="-2"/>
        </w:rPr>
        <w:t xml:space="preserve"> </w:t>
      </w:r>
      <w:r>
        <w:t>La demanderesse</w:t>
      </w:r>
      <w:r>
        <w:rPr>
          <w:spacing w:val="-6"/>
        </w:rPr>
        <w:t xml:space="preserve"> </w:t>
      </w:r>
      <w:r>
        <w:t>a</w:t>
      </w:r>
      <w:r>
        <w:rPr>
          <w:spacing w:val="-6"/>
        </w:rPr>
        <w:t xml:space="preserve"> </w:t>
      </w:r>
      <w:r>
        <w:t>produit</w:t>
      </w:r>
      <w:r>
        <w:rPr>
          <w:spacing w:val="-3"/>
        </w:rPr>
        <w:t xml:space="preserve"> </w:t>
      </w:r>
      <w:r>
        <w:t>des éléments de</w:t>
      </w:r>
      <w:r>
        <w:rPr>
          <w:spacing w:val="-6"/>
        </w:rPr>
        <w:t xml:space="preserve"> </w:t>
      </w:r>
      <w:r>
        <w:t>preuve</w:t>
      </w:r>
      <w:r>
        <w:rPr>
          <w:spacing w:val="-6"/>
        </w:rPr>
        <w:t xml:space="preserve"> </w:t>
      </w:r>
      <w:r>
        <w:t>à</w:t>
      </w:r>
      <w:r>
        <w:rPr>
          <w:spacing w:val="-6"/>
        </w:rPr>
        <w:t xml:space="preserve"> </w:t>
      </w:r>
      <w:r>
        <w:t>plusieurs reprises,</w:t>
      </w:r>
      <w:r>
        <w:rPr>
          <w:spacing w:val="-3"/>
        </w:rPr>
        <w:t xml:space="preserve"> </w:t>
      </w:r>
      <w:r>
        <w:t>comme déjà mentionné et décrit ci-dessus; tous ces éléments de preuve sont</w:t>
      </w:r>
      <w:r>
        <w:rPr>
          <w:spacing w:val="-5"/>
        </w:rPr>
        <w:t xml:space="preserve"> </w:t>
      </w:r>
      <w:r>
        <w:t>produits dans le</w:t>
      </w:r>
      <w:r>
        <w:rPr>
          <w:spacing w:val="-8"/>
        </w:rPr>
        <w:t xml:space="preserve"> </w:t>
      </w:r>
      <w:r>
        <w:t xml:space="preserve">délai imparti et peuvent être pris en considération aux fins de l’appréciation de la preuve de </w:t>
      </w:r>
      <w:r>
        <w:rPr>
          <w:spacing w:val="-2"/>
        </w:rPr>
        <w:t>l’usage.</w:t>
      </w:r>
    </w:p>
    <w:p w14:paraId="3FC563D1" w14:textId="77777777" w:rsidR="00E32F98" w:rsidRDefault="00E32F98">
      <w:pPr>
        <w:pStyle w:val="Corpsdetexte"/>
      </w:pPr>
    </w:p>
    <w:p w14:paraId="12932F0E" w14:textId="77777777" w:rsidR="00E32F98" w:rsidRDefault="00000000">
      <w:pPr>
        <w:pStyle w:val="Titre3"/>
      </w:pPr>
      <w:r>
        <w:rPr>
          <w:rFonts w:ascii="Arial MT" w:hAnsi="Arial MT"/>
          <w:b w:val="0"/>
          <w:i w:val="0"/>
        </w:rPr>
        <w:t>—</w:t>
      </w:r>
      <w:r>
        <w:rPr>
          <w:rFonts w:ascii="Arial MT" w:hAnsi="Arial MT"/>
          <w:b w:val="0"/>
          <w:i w:val="0"/>
          <w:spacing w:val="77"/>
        </w:rPr>
        <w:t xml:space="preserve"> </w:t>
      </w:r>
      <w:r>
        <w:t>Sur</w:t>
      </w:r>
      <w:r>
        <w:rPr>
          <w:spacing w:val="3"/>
        </w:rPr>
        <w:t xml:space="preserve"> </w:t>
      </w:r>
      <w:r>
        <w:t>les</w:t>
      </w:r>
      <w:r>
        <w:rPr>
          <w:spacing w:val="-5"/>
        </w:rPr>
        <w:t xml:space="preserve"> </w:t>
      </w:r>
      <w:r>
        <w:t>éléments</w:t>
      </w:r>
      <w:r>
        <w:rPr>
          <w:spacing w:val="-5"/>
        </w:rPr>
        <w:t xml:space="preserve"> </w:t>
      </w:r>
      <w:r>
        <w:t>de</w:t>
      </w:r>
      <w:r>
        <w:rPr>
          <w:spacing w:val="-5"/>
        </w:rPr>
        <w:t xml:space="preserve"> </w:t>
      </w:r>
      <w:r>
        <w:t>preuve</w:t>
      </w:r>
      <w:r>
        <w:rPr>
          <w:spacing w:val="-6"/>
        </w:rPr>
        <w:t xml:space="preserve"> </w:t>
      </w:r>
      <w:r>
        <w:t>concernant le</w:t>
      </w:r>
      <w:r>
        <w:rPr>
          <w:spacing w:val="11"/>
        </w:rPr>
        <w:t xml:space="preserve"> </w:t>
      </w:r>
      <w:r>
        <w:t>Royaume-</w:t>
      </w:r>
      <w:r>
        <w:rPr>
          <w:spacing w:val="-5"/>
        </w:rPr>
        <w:t>Uni</w:t>
      </w:r>
    </w:p>
    <w:p w14:paraId="3380F5AB" w14:textId="77777777" w:rsidR="00E32F98" w:rsidRDefault="00E32F98">
      <w:pPr>
        <w:pStyle w:val="Corpsdetexte"/>
        <w:spacing w:before="7"/>
        <w:rPr>
          <w:rFonts w:ascii="Arial"/>
          <w:b/>
          <w:i/>
        </w:rPr>
      </w:pPr>
    </w:p>
    <w:p w14:paraId="755D62D5" w14:textId="77777777" w:rsidR="00E32F98" w:rsidRDefault="00000000">
      <w:pPr>
        <w:pStyle w:val="Corpsdetexte"/>
        <w:spacing w:line="237" w:lineRule="auto"/>
        <w:ind w:left="166" w:right="150"/>
        <w:jc w:val="both"/>
      </w:pPr>
      <w:r>
        <w:t>La demanderesse a produit, entre autres, des éléments de preuve concernant</w:t>
      </w:r>
      <w:r>
        <w:rPr>
          <w:spacing w:val="-4"/>
        </w:rPr>
        <w:t xml:space="preserve"> </w:t>
      </w:r>
      <w:r>
        <w:t>le</w:t>
      </w:r>
      <w:r>
        <w:rPr>
          <w:spacing w:val="-7"/>
        </w:rPr>
        <w:t xml:space="preserve"> </w:t>
      </w:r>
      <w:r>
        <w:t xml:space="preserve">Royaume- Uni en </w:t>
      </w:r>
      <w:r>
        <w:rPr>
          <w:rFonts w:ascii="Arial" w:hAnsi="Arial"/>
          <w:b/>
        </w:rPr>
        <w:t xml:space="preserve">vue de démontrer l’usage </w:t>
      </w:r>
      <w:r>
        <w:t>des marques de l’Union européenne et de l’enregistrement international antérieures désignant l’UE,</w:t>
      </w:r>
      <w:r>
        <w:rPr>
          <w:spacing w:val="-1"/>
        </w:rPr>
        <w:t xml:space="preserve"> </w:t>
      </w:r>
      <w:r>
        <w:t>ainsi</w:t>
      </w:r>
      <w:r>
        <w:rPr>
          <w:spacing w:val="-3"/>
        </w:rPr>
        <w:t xml:space="preserve"> </w:t>
      </w:r>
      <w:r>
        <w:t>que</w:t>
      </w:r>
      <w:r>
        <w:rPr>
          <w:spacing w:val="-3"/>
        </w:rPr>
        <w:t xml:space="preserve"> </w:t>
      </w:r>
      <w:r>
        <w:t>d’étayer sa</w:t>
      </w:r>
      <w:r>
        <w:rPr>
          <w:spacing w:val="-3"/>
        </w:rPr>
        <w:t xml:space="preserve"> </w:t>
      </w:r>
      <w:r>
        <w:t xml:space="preserve">revendication de renommée. Une partie de ces éléments de preuve concerne une période antérieure à </w:t>
      </w:r>
      <w:r>
        <w:rPr>
          <w:spacing w:val="-2"/>
        </w:rPr>
        <w:t>01/01/2021.</w:t>
      </w:r>
    </w:p>
    <w:p w14:paraId="1AA56AAF" w14:textId="77777777" w:rsidR="00E32F98" w:rsidRDefault="00E32F98">
      <w:pPr>
        <w:pStyle w:val="Corpsdetexte"/>
        <w:spacing w:before="9"/>
      </w:pPr>
    </w:p>
    <w:p w14:paraId="56FA853A" w14:textId="77777777" w:rsidR="00E32F98" w:rsidRDefault="00000000">
      <w:pPr>
        <w:pStyle w:val="Corpsdetexte"/>
        <w:ind w:left="166" w:right="148"/>
        <w:jc w:val="both"/>
      </w:pPr>
      <w:r>
        <w:t>Le 01/02/2020, le Royaume-Uni s’est retiré de l’UE, sous réserve</w:t>
      </w:r>
      <w:r>
        <w:rPr>
          <w:spacing w:val="-10"/>
        </w:rPr>
        <w:t xml:space="preserve"> </w:t>
      </w:r>
      <w:r>
        <w:t>d’une</w:t>
      </w:r>
      <w:r>
        <w:rPr>
          <w:spacing w:val="-10"/>
        </w:rPr>
        <w:t xml:space="preserve"> </w:t>
      </w:r>
      <w:r>
        <w:t>période</w:t>
      </w:r>
      <w:r>
        <w:rPr>
          <w:spacing w:val="-10"/>
        </w:rPr>
        <w:t xml:space="preserve"> </w:t>
      </w:r>
      <w:r>
        <w:t>de</w:t>
      </w:r>
      <w:r>
        <w:rPr>
          <w:spacing w:val="-10"/>
        </w:rPr>
        <w:t xml:space="preserve"> </w:t>
      </w:r>
      <w:r>
        <w:t>transition jusqu’au 31/12/2020. Au cours de cette période de transition, le droit de l’UE est resté applicable au Royaume-Uni. Par conséquent, l’usage au Royaume-Uni avant la fin de la période de transition constitue un usage «dans l’UE». Par conséquent, les éléments de preuve relatifs</w:t>
      </w:r>
      <w:r>
        <w:rPr>
          <w:spacing w:val="40"/>
        </w:rPr>
        <w:t xml:space="preserve"> </w:t>
      </w:r>
      <w:r>
        <w:t>au Royaume-Uni et à une période antérieure à 01/01/2021 sont pertinents aux fins du maintien des droits dans l’Union européenne et</w:t>
      </w:r>
      <w:r>
        <w:rPr>
          <w:spacing w:val="-8"/>
        </w:rPr>
        <w:t xml:space="preserve"> </w:t>
      </w:r>
      <w:r>
        <w:t>seront</w:t>
      </w:r>
      <w:r>
        <w:rPr>
          <w:spacing w:val="-8"/>
        </w:rPr>
        <w:t xml:space="preserve"> </w:t>
      </w:r>
      <w:r>
        <w:t>pris en</w:t>
      </w:r>
      <w:r>
        <w:rPr>
          <w:spacing w:val="-11"/>
        </w:rPr>
        <w:t xml:space="preserve"> </w:t>
      </w:r>
      <w:r>
        <w:t>considération.</w:t>
      </w:r>
      <w:r>
        <w:rPr>
          <w:spacing w:val="-8"/>
        </w:rPr>
        <w:t xml:space="preserve"> </w:t>
      </w:r>
      <w:r>
        <w:t>Les éléments de preuve relatifs au Royaume-Uni et à une période postérieure au 31/12/2020 ne peuvent être pris en considération pour prouver l’usage sérieux «dans l’UE». (voir communication no 2/20 du directeur exécutif de l’Office du 10 septembre 2020 sur</w:t>
      </w:r>
      <w:r>
        <w:rPr>
          <w:spacing w:val="40"/>
        </w:rPr>
        <w:t xml:space="preserve"> </w:t>
      </w:r>
      <w:r>
        <w:t>l’incidence du retrait du Royaume-Uni de l’Union européenne sur certains aspects de la pratique de l’Office, section</w:t>
      </w:r>
      <w:r>
        <w:rPr>
          <w:spacing w:val="-15"/>
        </w:rPr>
        <w:t xml:space="preserve"> </w:t>
      </w:r>
      <w:r>
        <w:t>V «Droits antérieurs dans les procédures inter partes»).</w:t>
      </w:r>
    </w:p>
    <w:p w14:paraId="63D5F11D" w14:textId="77777777" w:rsidR="00E32F98" w:rsidRDefault="00000000">
      <w:pPr>
        <w:pStyle w:val="Corpsdetexte"/>
        <w:spacing w:before="250"/>
        <w:ind w:left="166" w:right="151"/>
        <w:jc w:val="both"/>
      </w:pPr>
      <w:r>
        <w:t xml:space="preserve">Toutefois, il découle de l’article 60, paragraphe 1, point a), du RMUE, lu conjointement avec l’article 8, paragraphe </w:t>
      </w:r>
      <w:r>
        <w:rPr>
          <w:rFonts w:ascii="Arial" w:hAnsi="Arial"/>
          <w:b/>
        </w:rPr>
        <w:t xml:space="preserve">1, </w:t>
      </w:r>
      <w:r>
        <w:t>point b), et l’article 8 (5) du RMUE, libellé au présent, que les conditions de son application doivent également être</w:t>
      </w:r>
      <w:r>
        <w:rPr>
          <w:spacing w:val="-12"/>
        </w:rPr>
        <w:t xml:space="preserve"> </w:t>
      </w:r>
      <w:r>
        <w:t>remplies au</w:t>
      </w:r>
      <w:r>
        <w:rPr>
          <w:spacing w:val="-12"/>
        </w:rPr>
        <w:t xml:space="preserve"> </w:t>
      </w:r>
      <w:r>
        <w:t>moment</w:t>
      </w:r>
      <w:r>
        <w:rPr>
          <w:spacing w:val="-9"/>
        </w:rPr>
        <w:t xml:space="preserve"> </w:t>
      </w:r>
      <w:r>
        <w:t>de</w:t>
      </w:r>
      <w:r>
        <w:rPr>
          <w:spacing w:val="-12"/>
        </w:rPr>
        <w:t xml:space="preserve"> </w:t>
      </w:r>
      <w:r>
        <w:t>l’adoption</w:t>
      </w:r>
      <w:r>
        <w:rPr>
          <w:spacing w:val="-12"/>
        </w:rPr>
        <w:t xml:space="preserve"> </w:t>
      </w:r>
      <w:r>
        <w:t>de</w:t>
      </w:r>
      <w:r>
        <w:rPr>
          <w:spacing w:val="-12"/>
        </w:rPr>
        <w:t xml:space="preserve"> </w:t>
      </w:r>
      <w:r>
        <w:t>la décision. Étant donné que le Royaume-Uni n’est plus membre de l’UE, les éléments de preuve relatifs à son territoire ne peuvent être pris en considération pour prouver la renommée «dans l’UE» (voir communication no 2/20 du directeur exécutif de l’Office du 10 septembre 2020 sur l’incidence du retrait du Royaume-Uni de l’Union européenne sur certains aspects de la pratique de l’Office, section V</w:t>
      </w:r>
      <w:r>
        <w:rPr>
          <w:spacing w:val="-3"/>
        </w:rPr>
        <w:t xml:space="preserve"> </w:t>
      </w:r>
      <w:r>
        <w:t xml:space="preserve">«Droits antérieurs dans les procédures </w:t>
      </w:r>
      <w:r>
        <w:rPr>
          <w:rFonts w:ascii="Arial" w:hAnsi="Arial"/>
          <w:i/>
        </w:rPr>
        <w:t>inter partes</w:t>
      </w:r>
      <w:r>
        <w:t>»).</w:t>
      </w:r>
    </w:p>
    <w:p w14:paraId="218FC6B8" w14:textId="77777777" w:rsidR="00E32F98" w:rsidRDefault="00E32F98">
      <w:pPr>
        <w:pStyle w:val="Corpsdetexte"/>
        <w:spacing w:before="8"/>
      </w:pPr>
    </w:p>
    <w:p w14:paraId="23C74AE0" w14:textId="77777777" w:rsidR="00E32F98" w:rsidRDefault="00000000">
      <w:pPr>
        <w:pStyle w:val="Titre3"/>
      </w:pPr>
      <w:r>
        <w:rPr>
          <w:rFonts w:ascii="Arial MT" w:hAnsi="Arial MT"/>
          <w:b w:val="0"/>
          <w:i w:val="0"/>
        </w:rPr>
        <w:t>—</w:t>
      </w:r>
      <w:r>
        <w:rPr>
          <w:rFonts w:ascii="Arial MT" w:hAnsi="Arial MT"/>
          <w:b w:val="0"/>
          <w:i w:val="0"/>
          <w:spacing w:val="73"/>
        </w:rPr>
        <w:t xml:space="preserve"> </w:t>
      </w:r>
      <w:r>
        <w:t>Analyse</w:t>
      </w:r>
      <w:r>
        <w:rPr>
          <w:spacing w:val="-7"/>
        </w:rPr>
        <w:t xml:space="preserve"> </w:t>
      </w:r>
      <w:r>
        <w:rPr>
          <w:spacing w:val="-2"/>
        </w:rPr>
        <w:t>globale</w:t>
      </w:r>
    </w:p>
    <w:p w14:paraId="2F903889" w14:textId="77777777" w:rsidR="00E32F98" w:rsidRDefault="00E32F98">
      <w:pPr>
        <w:pStyle w:val="Corpsdetexte"/>
        <w:spacing w:before="4"/>
        <w:rPr>
          <w:rFonts w:ascii="Arial"/>
          <w:b/>
          <w:i/>
        </w:rPr>
      </w:pPr>
    </w:p>
    <w:p w14:paraId="4AD5AC59" w14:textId="77777777" w:rsidR="00E32F98" w:rsidRDefault="00000000">
      <w:pPr>
        <w:pStyle w:val="Corpsdetexte"/>
        <w:spacing w:line="242" w:lineRule="auto"/>
        <w:ind w:left="166" w:right="161"/>
        <w:jc w:val="both"/>
      </w:pPr>
      <w:r>
        <w:t>Pour rappel général, il est tout d’abord observé que les dates pertinentes pour lesquelles la renommée de la marque antérieure a été constatée sont non seulement</w:t>
      </w:r>
      <w:r>
        <w:rPr>
          <w:spacing w:val="-5"/>
        </w:rPr>
        <w:t xml:space="preserve"> </w:t>
      </w:r>
      <w:r>
        <w:t>la</w:t>
      </w:r>
      <w:r>
        <w:rPr>
          <w:spacing w:val="-8"/>
        </w:rPr>
        <w:t xml:space="preserve"> </w:t>
      </w:r>
      <w:r>
        <w:t>date</w:t>
      </w:r>
      <w:r>
        <w:rPr>
          <w:spacing w:val="-8"/>
        </w:rPr>
        <w:t xml:space="preserve"> </w:t>
      </w:r>
      <w:r>
        <w:t>de</w:t>
      </w:r>
      <w:r>
        <w:rPr>
          <w:spacing w:val="-8"/>
        </w:rPr>
        <w:t xml:space="preserve"> </w:t>
      </w:r>
      <w:r>
        <w:t>dépôt</w:t>
      </w:r>
      <w:r>
        <w:rPr>
          <w:spacing w:val="-5"/>
        </w:rPr>
        <w:t xml:space="preserve"> </w:t>
      </w:r>
      <w:r>
        <w:t>de</w:t>
      </w:r>
    </w:p>
    <w:p w14:paraId="02419E3D" w14:textId="77777777" w:rsidR="00E32F98" w:rsidRDefault="00E32F98">
      <w:pPr>
        <w:pStyle w:val="Corpsdetexte"/>
        <w:spacing w:line="242" w:lineRule="auto"/>
        <w:jc w:val="both"/>
        <w:sectPr w:rsidR="00E32F98">
          <w:pgSz w:w="11910" w:h="16850"/>
          <w:pgMar w:top="1000" w:right="1275" w:bottom="280" w:left="1275" w:header="727" w:footer="0" w:gutter="0"/>
          <w:cols w:space="720"/>
        </w:sectPr>
      </w:pPr>
    </w:p>
    <w:p w14:paraId="2A603DB6" w14:textId="77777777" w:rsidR="00E32F98" w:rsidRDefault="00000000">
      <w:pPr>
        <w:pStyle w:val="Corpsdetexte"/>
        <w:spacing w:before="186"/>
      </w:pPr>
      <w:r>
        <w:rPr>
          <w:noProof/>
        </w:rPr>
        <w:lastRenderedPageBreak/>
        <mc:AlternateContent>
          <mc:Choice Requires="wps">
            <w:drawing>
              <wp:anchor distT="0" distB="0" distL="0" distR="0" simplePos="0" relativeHeight="15745536" behindDoc="0" locked="0" layoutInCell="1" allowOverlap="1" wp14:anchorId="5DEC3597" wp14:editId="49D0DCBD">
                <wp:simplePos x="0" y="0"/>
                <wp:positionH relativeFrom="page">
                  <wp:posOffset>270575</wp:posOffset>
                </wp:positionH>
                <wp:positionV relativeFrom="page">
                  <wp:posOffset>1118555</wp:posOffset>
                </wp:positionV>
                <wp:extent cx="146050" cy="921004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215F79DD"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45536" type="#_x0000_t202" id="docshape70"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492C47C2" w14:textId="77777777" w:rsidR="00E32F98" w:rsidRDefault="00000000">
      <w:pPr>
        <w:pStyle w:val="Corpsdetexte"/>
        <w:spacing w:line="242" w:lineRule="auto"/>
        <w:ind w:left="166" w:right="146"/>
        <w:jc w:val="both"/>
      </w:pPr>
      <w:r>
        <w:t xml:space="preserve">la demande en nullité (31/03/2023), mais aussi la période </w:t>
      </w:r>
      <w:r>
        <w:rPr>
          <w:u w:val="single"/>
        </w:rPr>
        <w:t>antérieure au dépôt</w:t>
      </w:r>
      <w:r>
        <w:t xml:space="preserve"> de la marque contestée — 18/03/2021.</w:t>
      </w:r>
    </w:p>
    <w:p w14:paraId="42C9C9C0" w14:textId="77777777" w:rsidR="00E32F98" w:rsidRDefault="00000000">
      <w:pPr>
        <w:pStyle w:val="Corpsdetexte"/>
        <w:spacing w:before="239"/>
        <w:ind w:left="166" w:right="147"/>
        <w:jc w:val="both"/>
      </w:pPr>
      <w:r>
        <w:t xml:space="preserve">Il ressort clairement des éléments de preuve que la marque antérieure «Moncler» a fait l’objet d’ </w:t>
      </w:r>
      <w:r>
        <w:rPr>
          <w:rFonts w:ascii="Arial" w:hAnsi="Arial"/>
          <w:b/>
        </w:rPr>
        <w:t xml:space="preserve">un usage long et intensif </w:t>
      </w:r>
      <w:r>
        <w:t xml:space="preserve">pour une partie des produits pour lesquels elle est enregistrée, à savoir des vêtements, en particulier des </w:t>
      </w:r>
      <w:r>
        <w:rPr>
          <w:rFonts w:ascii="Arial" w:hAnsi="Arial"/>
          <w:i/>
        </w:rPr>
        <w:t>vestes</w:t>
      </w:r>
      <w:r>
        <w:t>, et est généralement connue sur le marché mondial de la mode, où elle</w:t>
      </w:r>
      <w:r>
        <w:rPr>
          <w:spacing w:val="-7"/>
        </w:rPr>
        <w:t xml:space="preserve"> </w:t>
      </w:r>
      <w:r>
        <w:t>jouit</w:t>
      </w:r>
      <w:r>
        <w:rPr>
          <w:spacing w:val="-4"/>
        </w:rPr>
        <w:t xml:space="preserve"> </w:t>
      </w:r>
      <w:r>
        <w:t>d’une</w:t>
      </w:r>
      <w:r>
        <w:rPr>
          <w:spacing w:val="-7"/>
        </w:rPr>
        <w:t xml:space="preserve"> </w:t>
      </w:r>
      <w:r>
        <w:t>position</w:t>
      </w:r>
      <w:r>
        <w:rPr>
          <w:spacing w:val="-7"/>
        </w:rPr>
        <w:t xml:space="preserve"> </w:t>
      </w:r>
      <w:r>
        <w:t>consolidée</w:t>
      </w:r>
      <w:r>
        <w:rPr>
          <w:spacing w:val="-7"/>
        </w:rPr>
        <w:t xml:space="preserve"> </w:t>
      </w:r>
      <w:r>
        <w:t>parmi</w:t>
      </w:r>
      <w:r>
        <w:rPr>
          <w:spacing w:val="-7"/>
        </w:rPr>
        <w:t xml:space="preserve"> </w:t>
      </w:r>
      <w:r>
        <w:t>les marques leaders, comme l’attestent diverses sources indépendantes. Les chiffres de vente, les dépenses de marketing et la part de marché figurant dans les éléments de preuve et les diverses</w:t>
      </w:r>
      <w:r>
        <w:rPr>
          <w:spacing w:val="21"/>
        </w:rPr>
        <w:t xml:space="preserve"> </w:t>
      </w:r>
      <w:r>
        <w:t>références à</w:t>
      </w:r>
      <w:r>
        <w:rPr>
          <w:spacing w:val="-6"/>
        </w:rPr>
        <w:t xml:space="preserve"> </w:t>
      </w:r>
      <w:r>
        <w:t>son</w:t>
      </w:r>
      <w:r>
        <w:rPr>
          <w:spacing w:val="-6"/>
        </w:rPr>
        <w:t xml:space="preserve"> </w:t>
      </w:r>
      <w:r>
        <w:t>succès dans la</w:t>
      </w:r>
      <w:r>
        <w:rPr>
          <w:spacing w:val="-6"/>
        </w:rPr>
        <w:t xml:space="preserve"> </w:t>
      </w:r>
      <w:r>
        <w:t>presse</w:t>
      </w:r>
      <w:r>
        <w:rPr>
          <w:spacing w:val="-6"/>
        </w:rPr>
        <w:t xml:space="preserve"> </w:t>
      </w:r>
      <w:r>
        <w:t>(par</w:t>
      </w:r>
      <w:r>
        <w:rPr>
          <w:spacing w:val="-1"/>
        </w:rPr>
        <w:t xml:space="preserve"> </w:t>
      </w:r>
      <w:r>
        <w:t>exemple,</w:t>
      </w:r>
      <w:r>
        <w:rPr>
          <w:spacing w:val="-3"/>
        </w:rPr>
        <w:t xml:space="preserve"> </w:t>
      </w:r>
      <w:r>
        <w:t>pièces 2,</w:t>
      </w:r>
      <w:r>
        <w:rPr>
          <w:spacing w:val="-3"/>
        </w:rPr>
        <w:t xml:space="preserve"> </w:t>
      </w:r>
      <w:r>
        <w:t>11</w:t>
      </w:r>
      <w:r>
        <w:rPr>
          <w:spacing w:val="-6"/>
        </w:rPr>
        <w:t xml:space="preserve"> </w:t>
      </w:r>
      <w:r>
        <w:t>à</w:t>
      </w:r>
      <w:r>
        <w:rPr>
          <w:spacing w:val="-6"/>
        </w:rPr>
        <w:t xml:space="preserve"> </w:t>
      </w:r>
      <w:r>
        <w:t>13,</w:t>
      </w:r>
      <w:r>
        <w:rPr>
          <w:spacing w:val="-3"/>
        </w:rPr>
        <w:t xml:space="preserve"> </w:t>
      </w:r>
      <w:r>
        <w:t>16</w:t>
      </w:r>
      <w:r>
        <w:rPr>
          <w:spacing w:val="-6"/>
        </w:rPr>
        <w:t xml:space="preserve"> </w:t>
      </w:r>
      <w:r>
        <w:t>à</w:t>
      </w:r>
      <w:r>
        <w:rPr>
          <w:spacing w:val="-6"/>
        </w:rPr>
        <w:t xml:space="preserve"> </w:t>
      </w:r>
      <w:r>
        <w:t xml:space="preserve">17 et 22) prouvent sans équivoque que la marque jouit d’un degré élevé de reconnaissance auprès, au moins d’une partie, du public pertinent dans l’Union européenne pour ces produits. Ces conclusions sont particulièrement valables en ce qui concerne les consommateurs italiens, pour lesquels la marque a une importance historique face au mouvement «paninari» établi en Italie dans les années 80. Les éléments de preuve supplémentaires fournis par la demanderesse concernant le public italien, notamment les coupures de presse couvrant les périodes pertinentes, telles qu’établies ci-dessus, contribuent à établir une renommée relativement élevée de la marque en Italie. En tout état de cause, compte tenu du fait que, pour une marque de l’Union européenne antérieure, la renommée sur l’ensemble du territoire d’un seul État membre peut suffire (06/10/2009, C- 301/07, Pago, EU:C:2009:611), la renommée est également justifiée pour l’ensemble de </w:t>
      </w:r>
      <w:r>
        <w:rPr>
          <w:spacing w:val="-2"/>
        </w:rPr>
        <w:t>l’UE.</w:t>
      </w:r>
    </w:p>
    <w:p w14:paraId="524D9048" w14:textId="77777777" w:rsidR="00E32F98" w:rsidRDefault="00E32F98">
      <w:pPr>
        <w:pStyle w:val="Corpsdetexte"/>
        <w:spacing w:before="15"/>
      </w:pPr>
    </w:p>
    <w:p w14:paraId="04A50994" w14:textId="77777777" w:rsidR="00E32F98" w:rsidRDefault="00000000">
      <w:pPr>
        <w:pStyle w:val="Corpsdetexte"/>
        <w:ind w:left="166" w:right="146"/>
        <w:jc w:val="both"/>
      </w:pPr>
      <w:r>
        <w:t>Enoutre, les conclusions ci-dessus sont précédées du fait que les éléments de preuve produits contiennent suffisamment d’indications en ce qui concerne la durée, le territoire, la fréquence et la continuité des</w:t>
      </w:r>
      <w:r>
        <w:rPr>
          <w:spacing w:val="40"/>
        </w:rPr>
        <w:t xml:space="preserve"> </w:t>
      </w:r>
      <w:r>
        <w:t>activités</w:t>
      </w:r>
      <w:r>
        <w:rPr>
          <w:spacing w:val="40"/>
        </w:rPr>
        <w:t xml:space="preserve"> </w:t>
      </w:r>
      <w:r>
        <w:t>commerciales, afin de démontrer que la marque, dans la mesure pertinente, a fait l’objet d’un usage intensif en Italie au cours des deux périodes</w:t>
      </w:r>
      <w:r>
        <w:rPr>
          <w:spacing w:val="27"/>
        </w:rPr>
        <w:t xml:space="preserve"> </w:t>
      </w:r>
      <w:r>
        <w:t>pertinentes</w:t>
      </w:r>
      <w:r>
        <w:rPr>
          <w:spacing w:val="27"/>
        </w:rPr>
        <w:t xml:space="preserve"> </w:t>
      </w:r>
      <w:r>
        <w:t>aux fins</w:t>
      </w:r>
      <w:r>
        <w:rPr>
          <w:spacing w:val="27"/>
        </w:rPr>
        <w:t xml:space="preserve"> </w:t>
      </w:r>
      <w:r>
        <w:t>de l’analyse de la preuve de l’usage, à savoir du 31/03/2018 au 30/03/2023 et du 18/03/2016 au 17/03/2021. Ces conclusions ont été extrêmement étayées par le nombre de factures singulières, de matériel publicitaire et de chiffres financiers généraux, dûment présentés pour les périodes respectives.</w:t>
      </w:r>
    </w:p>
    <w:p w14:paraId="4A6D2A10" w14:textId="77777777" w:rsidR="00E32F98" w:rsidRDefault="00E32F98">
      <w:pPr>
        <w:pStyle w:val="Corpsdetexte"/>
        <w:spacing w:before="5"/>
      </w:pPr>
    </w:p>
    <w:p w14:paraId="58F38399" w14:textId="77777777" w:rsidR="00E32F98" w:rsidRDefault="00000000">
      <w:pPr>
        <w:pStyle w:val="Corpsdetexte"/>
        <w:spacing w:before="1"/>
        <w:ind w:left="166" w:right="149"/>
        <w:jc w:val="both"/>
      </w:pPr>
      <w:r>
        <w:t>Par souci d’exhaustivité, il convient néanmoins de noter que les éléments de preuve ne permettent pas d’établir que la marque</w:t>
      </w:r>
      <w:r>
        <w:rPr>
          <w:spacing w:val="-11"/>
        </w:rPr>
        <w:t xml:space="preserve"> </w:t>
      </w:r>
      <w:r>
        <w:t>«Moncler»</w:t>
      </w:r>
      <w:r>
        <w:rPr>
          <w:spacing w:val="-11"/>
        </w:rPr>
        <w:t xml:space="preserve"> </w:t>
      </w:r>
      <w:r>
        <w:t>jouit</w:t>
      </w:r>
      <w:r>
        <w:rPr>
          <w:spacing w:val="-8"/>
        </w:rPr>
        <w:t xml:space="preserve"> </w:t>
      </w:r>
      <w:r>
        <w:t>d’une</w:t>
      </w:r>
      <w:r>
        <w:rPr>
          <w:spacing w:val="-11"/>
        </w:rPr>
        <w:t xml:space="preserve"> </w:t>
      </w:r>
      <w:r>
        <w:t>renommée</w:t>
      </w:r>
      <w:r>
        <w:rPr>
          <w:spacing w:val="-11"/>
        </w:rPr>
        <w:t xml:space="preserve"> </w:t>
      </w:r>
      <w:r>
        <w:t>pour</w:t>
      </w:r>
      <w:r>
        <w:rPr>
          <w:spacing w:val="-7"/>
        </w:rPr>
        <w:t xml:space="preserve"> </w:t>
      </w:r>
      <w:r>
        <w:t>tous les autres produits et services pour lesquels une renommée</w:t>
      </w:r>
      <w:r>
        <w:rPr>
          <w:spacing w:val="-9"/>
        </w:rPr>
        <w:t xml:space="preserve"> </w:t>
      </w:r>
      <w:r>
        <w:t>a</w:t>
      </w:r>
      <w:r>
        <w:rPr>
          <w:spacing w:val="-9"/>
        </w:rPr>
        <w:t xml:space="preserve"> </w:t>
      </w:r>
      <w:r>
        <w:t>été</w:t>
      </w:r>
      <w:r>
        <w:rPr>
          <w:spacing w:val="-9"/>
        </w:rPr>
        <w:t xml:space="preserve"> </w:t>
      </w:r>
      <w:r>
        <w:t>revendiquée;</w:t>
      </w:r>
      <w:r>
        <w:rPr>
          <w:spacing w:val="-6"/>
        </w:rPr>
        <w:t xml:space="preserve"> </w:t>
      </w:r>
      <w:r>
        <w:t>la</w:t>
      </w:r>
      <w:r>
        <w:rPr>
          <w:spacing w:val="-9"/>
        </w:rPr>
        <w:t xml:space="preserve"> </w:t>
      </w:r>
      <w:r>
        <w:t>question</w:t>
      </w:r>
      <w:r>
        <w:rPr>
          <w:spacing w:val="-9"/>
        </w:rPr>
        <w:t xml:space="preserve"> </w:t>
      </w:r>
      <w:r>
        <w:t>de</w:t>
      </w:r>
      <w:r>
        <w:rPr>
          <w:spacing w:val="-9"/>
        </w:rPr>
        <w:t xml:space="preserve"> </w:t>
      </w:r>
      <w:r>
        <w:t>savoir</w:t>
      </w:r>
      <w:r>
        <w:rPr>
          <w:spacing w:val="-4"/>
        </w:rPr>
        <w:t xml:space="preserve"> </w:t>
      </w:r>
      <w:r>
        <w:t>si l’usage sérieux a été prouvé pour ces produits/services est alors dénuée</w:t>
      </w:r>
      <w:r>
        <w:rPr>
          <w:spacing w:val="-8"/>
        </w:rPr>
        <w:t xml:space="preserve"> </w:t>
      </w:r>
      <w:r>
        <w:t>de</w:t>
      </w:r>
      <w:r>
        <w:rPr>
          <w:spacing w:val="-8"/>
        </w:rPr>
        <w:t xml:space="preserve"> </w:t>
      </w:r>
      <w:r>
        <w:t>pertinence</w:t>
      </w:r>
      <w:r>
        <w:rPr>
          <w:spacing w:val="-8"/>
        </w:rPr>
        <w:t xml:space="preserve"> </w:t>
      </w:r>
      <w:r>
        <w:t>à</w:t>
      </w:r>
      <w:r>
        <w:rPr>
          <w:spacing w:val="-8"/>
        </w:rPr>
        <w:t xml:space="preserve"> </w:t>
      </w:r>
      <w:r>
        <w:t xml:space="preserve">ce stade et ne sera pas examinée ultérieurement. Comme souligné précédemment, les éléments de preuve concernent principalement des </w:t>
      </w:r>
      <w:r>
        <w:rPr>
          <w:rFonts w:ascii="Arial" w:hAnsi="Arial"/>
          <w:i/>
        </w:rPr>
        <w:t>vestes</w:t>
      </w:r>
      <w:r>
        <w:t>, et</w:t>
      </w:r>
      <w:r>
        <w:rPr>
          <w:spacing w:val="-6"/>
        </w:rPr>
        <w:t xml:space="preserve"> </w:t>
      </w:r>
      <w:r>
        <w:t>tout</w:t>
      </w:r>
      <w:r>
        <w:rPr>
          <w:spacing w:val="-6"/>
        </w:rPr>
        <w:t xml:space="preserve"> </w:t>
      </w:r>
      <w:r>
        <w:t>au</w:t>
      </w:r>
      <w:r>
        <w:rPr>
          <w:spacing w:val="-9"/>
        </w:rPr>
        <w:t xml:space="preserve"> </w:t>
      </w:r>
      <w:r>
        <w:t>plus des vêtements et articles de mode s’y rapportant en général, alors qu’il n’y a pas ou peu de référence aux autres produits et services. C’est ce qui ressort, par exemple, de l’article</w:t>
      </w:r>
      <w:r>
        <w:rPr>
          <w:spacing w:val="-8"/>
        </w:rPr>
        <w:t xml:space="preserve"> </w:t>
      </w:r>
      <w:r>
        <w:t>relatif</w:t>
      </w:r>
      <w:r>
        <w:rPr>
          <w:spacing w:val="-5"/>
        </w:rPr>
        <w:t xml:space="preserve"> </w:t>
      </w:r>
      <w:r>
        <w:t>aux</w:t>
      </w:r>
      <w:r>
        <w:rPr>
          <w:spacing w:val="-10"/>
        </w:rPr>
        <w:t xml:space="preserve"> </w:t>
      </w:r>
      <w:r>
        <w:t>parts de marché, des extraits de presse et des publicités,</w:t>
      </w:r>
      <w:r>
        <w:rPr>
          <w:spacing w:val="-4"/>
        </w:rPr>
        <w:t xml:space="preserve"> </w:t>
      </w:r>
      <w:r>
        <w:t>dans lesquels seuls les premiers occupent une position dominante dans les présentations.</w:t>
      </w:r>
    </w:p>
    <w:p w14:paraId="110C71FB" w14:textId="77777777" w:rsidR="00E32F98" w:rsidRDefault="00000000">
      <w:pPr>
        <w:spacing w:before="247" w:line="242" w:lineRule="auto"/>
        <w:ind w:left="166" w:right="152"/>
        <w:jc w:val="both"/>
      </w:pPr>
      <w:r>
        <w:t xml:space="preserve">Par conséquent, la division d’annulation estime qu’il convient de procéder à l’analyse sur la base des conclusions ci-dessus, à savoir que </w:t>
      </w:r>
      <w:r>
        <w:rPr>
          <w:rFonts w:ascii="Arial" w:hAnsi="Arial"/>
          <w:b/>
        </w:rPr>
        <w:t xml:space="preserve">la marque jouit d’une forte renommée en Italie pour les </w:t>
      </w:r>
      <w:r>
        <w:rPr>
          <w:rFonts w:ascii="Arial" w:hAnsi="Arial"/>
          <w:b/>
          <w:i/>
        </w:rPr>
        <w:t>vêtements, en particulier pour les vestes</w:t>
      </w:r>
      <w:r>
        <w:t>. Il s’agit en effet du scénario le plus favorable de la demanderesse.</w:t>
      </w:r>
    </w:p>
    <w:p w14:paraId="257D6527" w14:textId="77777777" w:rsidR="00E32F98" w:rsidRDefault="00000000">
      <w:pPr>
        <w:pStyle w:val="Titre2"/>
        <w:numPr>
          <w:ilvl w:val="0"/>
          <w:numId w:val="1"/>
        </w:numPr>
        <w:tabs>
          <w:tab w:val="left" w:pos="434"/>
        </w:tabs>
        <w:spacing w:before="240"/>
        <w:ind w:left="434" w:hanging="268"/>
      </w:pPr>
      <w:r>
        <w:t>Les</w:t>
      </w:r>
      <w:r>
        <w:rPr>
          <w:spacing w:val="-9"/>
        </w:rPr>
        <w:t xml:space="preserve"> </w:t>
      </w:r>
      <w:r>
        <w:rPr>
          <w:spacing w:val="-2"/>
        </w:rPr>
        <w:t>signes</w:t>
      </w:r>
    </w:p>
    <w:p w14:paraId="569E6122" w14:textId="77777777" w:rsidR="00E32F98" w:rsidRDefault="00E32F98">
      <w:pPr>
        <w:pStyle w:val="Corpsdetexte"/>
        <w:spacing w:before="4"/>
        <w:rPr>
          <w:rFonts w:ascii="Arial"/>
          <w:b/>
        </w:rPr>
      </w:pPr>
    </w:p>
    <w:p w14:paraId="150138A2" w14:textId="77777777" w:rsidR="00E32F98" w:rsidRDefault="00000000">
      <w:pPr>
        <w:pStyle w:val="Corpsdetexte"/>
        <w:spacing w:line="242" w:lineRule="auto"/>
        <w:ind w:left="166" w:right="147"/>
        <w:jc w:val="both"/>
      </w:pPr>
      <w:r>
        <w:t>Les signes ont déjà été comparés ci-dessus dans le cadre de l’examen des motifs visés à l’article</w:t>
      </w:r>
      <w:r>
        <w:rPr>
          <w:spacing w:val="-8"/>
        </w:rPr>
        <w:t xml:space="preserve"> </w:t>
      </w:r>
      <w:r>
        <w:t>8, paragraphe</w:t>
      </w:r>
      <w:r>
        <w:rPr>
          <w:spacing w:val="-6"/>
        </w:rPr>
        <w:t xml:space="preserve"> </w:t>
      </w:r>
      <w:r>
        <w:t>1, point</w:t>
      </w:r>
      <w:r>
        <w:rPr>
          <w:spacing w:val="-5"/>
        </w:rPr>
        <w:t xml:space="preserve"> </w:t>
      </w:r>
      <w:r>
        <w:t>b), du RMUE; Il est fait référence à ces conclusions, qui sont tout autant valables en ce qui concerne l’article</w:t>
      </w:r>
      <w:r>
        <w:rPr>
          <w:spacing w:val="-3"/>
        </w:rPr>
        <w:t xml:space="preserve"> </w:t>
      </w:r>
      <w:r>
        <w:t>8, paragraphe</w:t>
      </w:r>
      <w:r>
        <w:rPr>
          <w:spacing w:val="-9"/>
        </w:rPr>
        <w:t xml:space="preserve"> </w:t>
      </w:r>
      <w:r>
        <w:t>5, du RMUE.</w:t>
      </w:r>
      <w:r>
        <w:rPr>
          <w:spacing w:val="-9"/>
        </w:rPr>
        <w:t xml:space="preserve"> </w:t>
      </w:r>
      <w:r>
        <w:t>Étant</w:t>
      </w:r>
      <w:r>
        <w:rPr>
          <w:spacing w:val="-9"/>
        </w:rPr>
        <w:t xml:space="preserve"> </w:t>
      </w:r>
      <w:r>
        <w:t>donné</w:t>
      </w:r>
      <w:r>
        <w:rPr>
          <w:spacing w:val="-12"/>
        </w:rPr>
        <w:t xml:space="preserve"> </w:t>
      </w:r>
      <w:r>
        <w:t>que l’analyse ci-dessus concernait la perception du public dans l’ensemble de l’Union, elle contient, à</w:t>
      </w:r>
      <w:r>
        <w:rPr>
          <w:spacing w:val="-1"/>
        </w:rPr>
        <w:t xml:space="preserve"> </w:t>
      </w:r>
      <w:r>
        <w:t>l’évidence, des conclusions</w:t>
      </w:r>
      <w:r>
        <w:rPr>
          <w:spacing w:val="-3"/>
        </w:rPr>
        <w:t xml:space="preserve"> </w:t>
      </w:r>
      <w:r>
        <w:t>également sur la</w:t>
      </w:r>
      <w:r>
        <w:rPr>
          <w:spacing w:val="-1"/>
        </w:rPr>
        <w:t xml:space="preserve"> </w:t>
      </w:r>
      <w:r>
        <w:t>perception du</w:t>
      </w:r>
      <w:r>
        <w:rPr>
          <w:spacing w:val="-1"/>
        </w:rPr>
        <w:t xml:space="preserve"> </w:t>
      </w:r>
      <w:r>
        <w:t>public italien.</w:t>
      </w:r>
    </w:p>
    <w:p w14:paraId="6AE66C2D" w14:textId="77777777" w:rsidR="00E32F98" w:rsidRDefault="00E32F98">
      <w:pPr>
        <w:pStyle w:val="Corpsdetexte"/>
        <w:spacing w:line="242" w:lineRule="auto"/>
        <w:jc w:val="both"/>
        <w:sectPr w:rsidR="00E32F98">
          <w:pgSz w:w="11910" w:h="16850"/>
          <w:pgMar w:top="1000" w:right="1275" w:bottom="280" w:left="1275" w:header="727" w:footer="0" w:gutter="0"/>
          <w:cols w:space="720"/>
        </w:sectPr>
      </w:pPr>
    </w:p>
    <w:p w14:paraId="24D0E592" w14:textId="77777777" w:rsidR="00E32F98" w:rsidRDefault="00000000">
      <w:pPr>
        <w:pStyle w:val="Corpsdetexte"/>
      </w:pPr>
      <w:r>
        <w:rPr>
          <w:noProof/>
        </w:rPr>
        <w:lastRenderedPageBreak/>
        <mc:AlternateContent>
          <mc:Choice Requires="wps">
            <w:drawing>
              <wp:anchor distT="0" distB="0" distL="0" distR="0" simplePos="0" relativeHeight="15746048" behindDoc="0" locked="0" layoutInCell="1" allowOverlap="1" wp14:anchorId="6CB1144D" wp14:editId="6064BF6A">
                <wp:simplePos x="0" y="0"/>
                <wp:positionH relativeFrom="page">
                  <wp:posOffset>270575</wp:posOffset>
                </wp:positionH>
                <wp:positionV relativeFrom="page">
                  <wp:posOffset>1118555</wp:posOffset>
                </wp:positionV>
                <wp:extent cx="146050" cy="921004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42BAAF00"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46048" type="#_x0000_t202" id="docshape71"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7D03E92D" w14:textId="77777777" w:rsidR="00E32F98" w:rsidRDefault="00E32F98">
      <w:pPr>
        <w:pStyle w:val="Corpsdetexte"/>
        <w:spacing w:before="188"/>
      </w:pPr>
    </w:p>
    <w:p w14:paraId="1A156D12" w14:textId="77777777" w:rsidR="00E32F98" w:rsidRDefault="00000000">
      <w:pPr>
        <w:pStyle w:val="Titre2"/>
        <w:numPr>
          <w:ilvl w:val="0"/>
          <w:numId w:val="1"/>
        </w:numPr>
        <w:tabs>
          <w:tab w:val="left" w:pos="419"/>
        </w:tabs>
        <w:ind w:left="419" w:hanging="253"/>
      </w:pPr>
      <w:r>
        <w:t>Le</w:t>
      </w:r>
      <w:r>
        <w:rPr>
          <w:spacing w:val="3"/>
        </w:rPr>
        <w:t xml:space="preserve"> </w:t>
      </w:r>
      <w:r>
        <w:t>«lien»</w:t>
      </w:r>
      <w:r>
        <w:rPr>
          <w:spacing w:val="3"/>
        </w:rPr>
        <w:t xml:space="preserve"> </w:t>
      </w:r>
      <w:r>
        <w:t>entre</w:t>
      </w:r>
      <w:r>
        <w:rPr>
          <w:spacing w:val="4"/>
        </w:rPr>
        <w:t xml:space="preserve"> </w:t>
      </w:r>
      <w:r>
        <w:t>les</w:t>
      </w:r>
      <w:r>
        <w:rPr>
          <w:spacing w:val="-15"/>
        </w:rPr>
        <w:t xml:space="preserve"> </w:t>
      </w:r>
      <w:r>
        <w:rPr>
          <w:spacing w:val="-2"/>
        </w:rPr>
        <w:t>signes</w:t>
      </w:r>
    </w:p>
    <w:p w14:paraId="4305F99F" w14:textId="77777777" w:rsidR="00E32F98" w:rsidRDefault="00000000">
      <w:pPr>
        <w:pStyle w:val="Corpsdetexte"/>
        <w:spacing w:before="242" w:line="242" w:lineRule="auto"/>
        <w:ind w:left="166" w:right="147"/>
        <w:jc w:val="both"/>
      </w:pPr>
      <w:r>
        <w:t>Comme indiqué ci-dessus, la marque antérieure est renommée</w:t>
      </w:r>
      <w:r>
        <w:rPr>
          <w:spacing w:val="-3"/>
        </w:rPr>
        <w:t xml:space="preserve"> </w:t>
      </w:r>
      <w:r>
        <w:t>et les signes sont similaires dans une certaine mesure. Afin d’établir l’existence d’un risque de préjudice, il convient de démontrer que, compte tenu de tous les facteurs pertinents, le public pertinent établira un lien (ou une association) entre les signes. La nécessité d’un tel «lien» entre</w:t>
      </w:r>
      <w:r>
        <w:rPr>
          <w:spacing w:val="-8"/>
        </w:rPr>
        <w:t xml:space="preserve"> </w:t>
      </w:r>
      <w:r>
        <w:t>les marques en conflit dans l’esprit des consommateurs n’est pas explicitement mentionnée à l’article 8, paragraphe</w:t>
      </w:r>
      <w:r>
        <w:rPr>
          <w:spacing w:val="-8"/>
        </w:rPr>
        <w:t xml:space="preserve"> </w:t>
      </w:r>
      <w:r>
        <w:t>5, du RMUE, mais a été confirmée par plusieurs arrêts (23/10/2003, C-408/01, Adidas,</w:t>
      </w:r>
      <w:r>
        <w:rPr>
          <w:spacing w:val="28"/>
        </w:rPr>
        <w:t xml:space="preserve"> </w:t>
      </w:r>
      <w:r>
        <w:t>EU:C:2003:582,</w:t>
      </w:r>
      <w:r>
        <w:rPr>
          <w:spacing w:val="28"/>
        </w:rPr>
        <w:t xml:space="preserve"> </w:t>
      </w:r>
      <w:r>
        <w:t>§</w:t>
      </w:r>
      <w:r>
        <w:rPr>
          <w:spacing w:val="25"/>
        </w:rPr>
        <w:t xml:space="preserve"> </w:t>
      </w:r>
      <w:r>
        <w:t>29, 31; 27/11/2008, C-252/07, Intel, EU:C:2008:655, § 66). Il ne</w:t>
      </w:r>
    </w:p>
    <w:p w14:paraId="5746176F" w14:textId="77777777" w:rsidR="00E32F98" w:rsidRDefault="00000000">
      <w:pPr>
        <w:pStyle w:val="Corpsdetexte"/>
        <w:spacing w:line="237" w:lineRule="auto"/>
        <w:ind w:left="166" w:right="151"/>
        <w:jc w:val="both"/>
      </w:pPr>
      <w:r>
        <w:t>s’agit pas</w:t>
      </w:r>
      <w:r>
        <w:rPr>
          <w:spacing w:val="40"/>
        </w:rPr>
        <w:t xml:space="preserve"> </w:t>
      </w:r>
      <w:r>
        <w:t>d’une exigence supplémentaire: ceci reflète simplement la nécessité de déterminer si l’association que le public pourrait établir entre les signes est telle qu’il est vraisemblable que l’usage de la marque</w:t>
      </w:r>
      <w:r>
        <w:rPr>
          <w:spacing w:val="-8"/>
        </w:rPr>
        <w:t xml:space="preserve"> </w:t>
      </w:r>
      <w:r>
        <w:t>demandée</w:t>
      </w:r>
      <w:r>
        <w:rPr>
          <w:spacing w:val="-8"/>
        </w:rPr>
        <w:t xml:space="preserve"> </w:t>
      </w:r>
      <w:r>
        <w:t>tire</w:t>
      </w:r>
      <w:r>
        <w:rPr>
          <w:spacing w:val="-8"/>
        </w:rPr>
        <w:t xml:space="preserve"> </w:t>
      </w:r>
      <w:r>
        <w:t>indûment</w:t>
      </w:r>
      <w:r>
        <w:rPr>
          <w:spacing w:val="-5"/>
        </w:rPr>
        <w:t xml:space="preserve"> </w:t>
      </w:r>
      <w:r>
        <w:t>profit</w:t>
      </w:r>
      <w:r>
        <w:rPr>
          <w:spacing w:val="-5"/>
        </w:rPr>
        <w:t xml:space="preserve"> </w:t>
      </w:r>
      <w:r>
        <w:t>du</w:t>
      </w:r>
      <w:r>
        <w:rPr>
          <w:spacing w:val="-8"/>
        </w:rPr>
        <w:t xml:space="preserve"> </w:t>
      </w:r>
      <w:r>
        <w:t>caractère</w:t>
      </w:r>
      <w:r>
        <w:rPr>
          <w:spacing w:val="-8"/>
        </w:rPr>
        <w:t xml:space="preserve"> </w:t>
      </w:r>
      <w:r>
        <w:t>distinctif ou de la renommée de la marque antérieure ou qu’il lui porte</w:t>
      </w:r>
      <w:r>
        <w:rPr>
          <w:spacing w:val="-10"/>
        </w:rPr>
        <w:t xml:space="preserve"> </w:t>
      </w:r>
      <w:r>
        <w:t>préjudice,</w:t>
      </w:r>
      <w:r>
        <w:rPr>
          <w:spacing w:val="-7"/>
        </w:rPr>
        <w:t xml:space="preserve"> </w:t>
      </w:r>
      <w:r>
        <w:t>après avoir</w:t>
      </w:r>
      <w:r>
        <w:rPr>
          <w:spacing w:val="-5"/>
        </w:rPr>
        <w:t xml:space="preserve"> </w:t>
      </w:r>
      <w:r>
        <w:t>apprécié tous les facteurs pertinents dans le cas d’espèce.</w:t>
      </w:r>
    </w:p>
    <w:p w14:paraId="36FDF2E3" w14:textId="77777777" w:rsidR="00E32F98" w:rsidRDefault="00E32F98">
      <w:pPr>
        <w:pStyle w:val="Corpsdetexte"/>
        <w:spacing w:before="9"/>
      </w:pPr>
    </w:p>
    <w:p w14:paraId="475BC814" w14:textId="77777777" w:rsidR="00E32F98" w:rsidRDefault="00000000">
      <w:pPr>
        <w:pStyle w:val="Corpsdetexte"/>
        <w:spacing w:before="1" w:line="242" w:lineRule="auto"/>
        <w:ind w:left="166" w:right="150"/>
        <w:jc w:val="both"/>
      </w:pPr>
      <w:r>
        <w:t xml:space="preserve">Les éventuels facteurs pertinents aux fins de l’examen d’un «lien» incluent (27/11/2008, </w:t>
      </w:r>
      <w:r>
        <w:rPr>
          <w:spacing w:val="10"/>
        </w:rPr>
        <w:t xml:space="preserve">C- </w:t>
      </w:r>
      <w:r>
        <w:t>252/07, Intel, EU:C:2008:655, § 42):</w:t>
      </w:r>
    </w:p>
    <w:p w14:paraId="27178A66" w14:textId="77777777" w:rsidR="00E32F98" w:rsidRDefault="00000000">
      <w:pPr>
        <w:pStyle w:val="Corpsdetexte"/>
        <w:spacing w:before="240"/>
        <w:ind w:left="767"/>
      </w:pPr>
      <w:r>
        <w:t>le</w:t>
      </w:r>
      <w:r>
        <w:rPr>
          <w:spacing w:val="-11"/>
        </w:rPr>
        <w:t xml:space="preserve"> </w:t>
      </w:r>
      <w:r>
        <w:t>degré</w:t>
      </w:r>
      <w:r>
        <w:rPr>
          <w:spacing w:val="3"/>
        </w:rPr>
        <w:t xml:space="preserve"> </w:t>
      </w:r>
      <w:r>
        <w:t>de</w:t>
      </w:r>
      <w:r>
        <w:rPr>
          <w:spacing w:val="4"/>
        </w:rPr>
        <w:t xml:space="preserve"> </w:t>
      </w:r>
      <w:r>
        <w:t>similitude</w:t>
      </w:r>
      <w:r>
        <w:rPr>
          <w:spacing w:val="-11"/>
        </w:rPr>
        <w:t xml:space="preserve"> </w:t>
      </w:r>
      <w:r>
        <w:t>entre</w:t>
      </w:r>
      <w:r>
        <w:rPr>
          <w:spacing w:val="-10"/>
        </w:rPr>
        <w:t xml:space="preserve"> </w:t>
      </w:r>
      <w:r>
        <w:t>les</w:t>
      </w:r>
      <w:r>
        <w:rPr>
          <w:spacing w:val="1"/>
        </w:rPr>
        <w:t xml:space="preserve"> </w:t>
      </w:r>
      <w:r>
        <w:rPr>
          <w:spacing w:val="-2"/>
        </w:rPr>
        <w:t>signes;</w:t>
      </w:r>
    </w:p>
    <w:p w14:paraId="4D252A72" w14:textId="77777777" w:rsidR="00E32F98" w:rsidRDefault="00E32F98">
      <w:pPr>
        <w:pStyle w:val="Corpsdetexte"/>
        <w:spacing w:before="3"/>
      </w:pPr>
    </w:p>
    <w:p w14:paraId="25DA2484" w14:textId="77777777" w:rsidR="00E32F98" w:rsidRDefault="00000000">
      <w:pPr>
        <w:pStyle w:val="Corpsdetexte"/>
        <w:spacing w:before="1" w:line="242" w:lineRule="auto"/>
        <w:ind w:left="1128" w:hanging="361"/>
      </w:pPr>
      <w:r>
        <w:t>la</w:t>
      </w:r>
      <w:r>
        <w:rPr>
          <w:spacing w:val="66"/>
        </w:rPr>
        <w:t xml:space="preserve"> </w:t>
      </w:r>
      <w:r>
        <w:t>nature</w:t>
      </w:r>
      <w:r>
        <w:rPr>
          <w:spacing w:val="66"/>
        </w:rPr>
        <w:t xml:space="preserve"> </w:t>
      </w:r>
      <w:r>
        <w:t>des</w:t>
      </w:r>
      <w:r>
        <w:rPr>
          <w:spacing w:val="78"/>
        </w:rPr>
        <w:t xml:space="preserve"> </w:t>
      </w:r>
      <w:r>
        <w:t>produits</w:t>
      </w:r>
      <w:r>
        <w:rPr>
          <w:spacing w:val="78"/>
        </w:rPr>
        <w:t xml:space="preserve"> </w:t>
      </w:r>
      <w:r>
        <w:t>et</w:t>
      </w:r>
      <w:r>
        <w:rPr>
          <w:spacing w:val="69"/>
        </w:rPr>
        <w:t xml:space="preserve"> </w:t>
      </w:r>
      <w:r>
        <w:t>des</w:t>
      </w:r>
      <w:r>
        <w:rPr>
          <w:spacing w:val="78"/>
        </w:rPr>
        <w:t xml:space="preserve"> </w:t>
      </w:r>
      <w:r>
        <w:t>services,</w:t>
      </w:r>
      <w:r>
        <w:rPr>
          <w:spacing w:val="69"/>
        </w:rPr>
        <w:t xml:space="preserve"> </w:t>
      </w:r>
      <w:r>
        <w:t>y</w:t>
      </w:r>
      <w:r>
        <w:rPr>
          <w:spacing w:val="64"/>
        </w:rPr>
        <w:t xml:space="preserve"> </w:t>
      </w:r>
      <w:r>
        <w:t>compris</w:t>
      </w:r>
      <w:r>
        <w:rPr>
          <w:spacing w:val="78"/>
        </w:rPr>
        <w:t xml:space="preserve"> </w:t>
      </w:r>
      <w:r>
        <w:t>le</w:t>
      </w:r>
      <w:r>
        <w:rPr>
          <w:spacing w:val="66"/>
        </w:rPr>
        <w:t xml:space="preserve"> </w:t>
      </w:r>
      <w:r>
        <w:t>degré</w:t>
      </w:r>
      <w:r>
        <w:rPr>
          <w:spacing w:val="66"/>
        </w:rPr>
        <w:t xml:space="preserve"> </w:t>
      </w:r>
      <w:r>
        <w:t>de</w:t>
      </w:r>
      <w:r>
        <w:rPr>
          <w:spacing w:val="66"/>
        </w:rPr>
        <w:t xml:space="preserve"> </w:t>
      </w:r>
      <w:r>
        <w:t>proximité</w:t>
      </w:r>
      <w:r>
        <w:rPr>
          <w:spacing w:val="40"/>
        </w:rPr>
        <w:t xml:space="preserve"> </w:t>
      </w:r>
      <w:r>
        <w:t>ou</w:t>
      </w:r>
      <w:r>
        <w:rPr>
          <w:spacing w:val="40"/>
        </w:rPr>
        <w:t xml:space="preserve"> </w:t>
      </w:r>
      <w:r>
        <w:t>de dissemblance</w:t>
      </w:r>
      <w:r>
        <w:rPr>
          <w:spacing w:val="-13"/>
        </w:rPr>
        <w:t xml:space="preserve"> </w:t>
      </w:r>
      <w:r>
        <w:t>de ces produits ou services ainsi que le public pertinent;</w:t>
      </w:r>
    </w:p>
    <w:p w14:paraId="3CB7B245" w14:textId="77777777" w:rsidR="00E32F98" w:rsidRDefault="00E32F98">
      <w:pPr>
        <w:pStyle w:val="Corpsdetexte"/>
        <w:spacing w:before="1"/>
      </w:pPr>
    </w:p>
    <w:p w14:paraId="6E3EE47E" w14:textId="77777777" w:rsidR="00E32F98" w:rsidRDefault="00000000">
      <w:pPr>
        <w:pStyle w:val="Corpsdetexte"/>
        <w:spacing w:before="1"/>
        <w:ind w:left="767"/>
      </w:pPr>
      <w:r>
        <w:t>l’intensité</w:t>
      </w:r>
      <w:r>
        <w:rPr>
          <w:spacing w:val="5"/>
        </w:rPr>
        <w:t xml:space="preserve"> </w:t>
      </w:r>
      <w:r>
        <w:t>de</w:t>
      </w:r>
      <w:r>
        <w:rPr>
          <w:spacing w:val="7"/>
        </w:rPr>
        <w:t xml:space="preserve"> </w:t>
      </w:r>
      <w:r>
        <w:t>la</w:t>
      </w:r>
      <w:r>
        <w:rPr>
          <w:spacing w:val="-9"/>
        </w:rPr>
        <w:t xml:space="preserve"> </w:t>
      </w:r>
      <w:r>
        <w:t>renommée</w:t>
      </w:r>
      <w:r>
        <w:rPr>
          <w:spacing w:val="-22"/>
        </w:rPr>
        <w:t xml:space="preserve"> </w:t>
      </w:r>
      <w:r>
        <w:t>de</w:t>
      </w:r>
      <w:r>
        <w:rPr>
          <w:spacing w:val="7"/>
        </w:rPr>
        <w:t xml:space="preserve"> </w:t>
      </w:r>
      <w:r>
        <w:t>la</w:t>
      </w:r>
      <w:r>
        <w:rPr>
          <w:spacing w:val="-8"/>
        </w:rPr>
        <w:t xml:space="preserve"> </w:t>
      </w:r>
      <w:r>
        <w:t>marque</w:t>
      </w:r>
      <w:r>
        <w:rPr>
          <w:spacing w:val="-9"/>
        </w:rPr>
        <w:t xml:space="preserve"> </w:t>
      </w:r>
      <w:r>
        <w:rPr>
          <w:spacing w:val="-2"/>
        </w:rPr>
        <w:t>antérieure;</w:t>
      </w:r>
    </w:p>
    <w:p w14:paraId="7DD0B765" w14:textId="77777777" w:rsidR="00E32F98" w:rsidRDefault="00000000">
      <w:pPr>
        <w:pStyle w:val="Corpsdetexte"/>
        <w:spacing w:before="242" w:line="242" w:lineRule="auto"/>
        <w:ind w:left="1128" w:hanging="361"/>
      </w:pPr>
      <w:r>
        <w:t>le</w:t>
      </w:r>
      <w:r>
        <w:rPr>
          <w:spacing w:val="40"/>
        </w:rPr>
        <w:t xml:space="preserve"> </w:t>
      </w:r>
      <w:r>
        <w:t>degré</w:t>
      </w:r>
      <w:r>
        <w:rPr>
          <w:spacing w:val="40"/>
        </w:rPr>
        <w:t xml:space="preserve"> </w:t>
      </w:r>
      <w:r>
        <w:t>de</w:t>
      </w:r>
      <w:r>
        <w:rPr>
          <w:spacing w:val="40"/>
        </w:rPr>
        <w:t xml:space="preserve"> </w:t>
      </w:r>
      <w:r>
        <w:t>caractère</w:t>
      </w:r>
      <w:r>
        <w:rPr>
          <w:spacing w:val="40"/>
        </w:rPr>
        <w:t xml:space="preserve"> </w:t>
      </w:r>
      <w:r>
        <w:t>distinctif,</w:t>
      </w:r>
      <w:r>
        <w:rPr>
          <w:spacing w:val="68"/>
        </w:rPr>
        <w:t xml:space="preserve"> </w:t>
      </w:r>
      <w:r>
        <w:t>intrinsèque</w:t>
      </w:r>
      <w:r>
        <w:rPr>
          <w:spacing w:val="40"/>
        </w:rPr>
        <w:t xml:space="preserve"> </w:t>
      </w:r>
      <w:r>
        <w:t>ou</w:t>
      </w:r>
      <w:r>
        <w:rPr>
          <w:spacing w:val="40"/>
        </w:rPr>
        <w:t xml:space="preserve"> </w:t>
      </w:r>
      <w:r>
        <w:t>acquis</w:t>
      </w:r>
      <w:r>
        <w:rPr>
          <w:spacing w:val="40"/>
        </w:rPr>
        <w:t xml:space="preserve"> </w:t>
      </w:r>
      <w:r>
        <w:t>par</w:t>
      </w:r>
      <w:r>
        <w:rPr>
          <w:spacing w:val="40"/>
        </w:rPr>
        <w:t xml:space="preserve"> </w:t>
      </w:r>
      <w:r>
        <w:t>l’usage,</w:t>
      </w:r>
      <w:r>
        <w:rPr>
          <w:spacing w:val="40"/>
        </w:rPr>
        <w:t xml:space="preserve"> </w:t>
      </w:r>
      <w:r>
        <w:t>de</w:t>
      </w:r>
      <w:r>
        <w:rPr>
          <w:spacing w:val="40"/>
        </w:rPr>
        <w:t xml:space="preserve"> </w:t>
      </w:r>
      <w:r>
        <w:t>la</w:t>
      </w:r>
      <w:r>
        <w:rPr>
          <w:spacing w:val="40"/>
        </w:rPr>
        <w:t xml:space="preserve"> </w:t>
      </w:r>
      <w:r>
        <w:t xml:space="preserve">marque </w:t>
      </w:r>
      <w:r>
        <w:rPr>
          <w:spacing w:val="-2"/>
        </w:rPr>
        <w:t>antérieure;</w:t>
      </w:r>
    </w:p>
    <w:p w14:paraId="4B18A72F" w14:textId="77777777" w:rsidR="00E32F98" w:rsidRDefault="00E32F98">
      <w:pPr>
        <w:pStyle w:val="Corpsdetexte"/>
        <w:spacing w:before="1"/>
      </w:pPr>
    </w:p>
    <w:p w14:paraId="0BD29BE8" w14:textId="77777777" w:rsidR="00E32F98" w:rsidRDefault="00000000">
      <w:pPr>
        <w:pStyle w:val="Corpsdetexte"/>
        <w:spacing w:before="1"/>
        <w:ind w:left="767"/>
      </w:pPr>
      <w:r>
        <w:t>l’existence</w:t>
      </w:r>
      <w:r>
        <w:rPr>
          <w:spacing w:val="3"/>
        </w:rPr>
        <w:t xml:space="preserve"> </w:t>
      </w:r>
      <w:r>
        <w:t>d’un</w:t>
      </w:r>
      <w:r>
        <w:rPr>
          <w:spacing w:val="-10"/>
        </w:rPr>
        <w:t xml:space="preserve"> </w:t>
      </w:r>
      <w:r>
        <w:t>risque</w:t>
      </w:r>
      <w:r>
        <w:rPr>
          <w:spacing w:val="-10"/>
        </w:rPr>
        <w:t xml:space="preserve"> </w:t>
      </w:r>
      <w:r>
        <w:t>de</w:t>
      </w:r>
      <w:r>
        <w:rPr>
          <w:spacing w:val="4"/>
        </w:rPr>
        <w:t xml:space="preserve"> </w:t>
      </w:r>
      <w:r>
        <w:t>confusion</w:t>
      </w:r>
      <w:r>
        <w:rPr>
          <w:spacing w:val="-10"/>
        </w:rPr>
        <w:t xml:space="preserve"> </w:t>
      </w:r>
      <w:r>
        <w:t>dans</w:t>
      </w:r>
      <w:r>
        <w:rPr>
          <w:spacing w:val="2"/>
        </w:rPr>
        <w:t xml:space="preserve"> </w:t>
      </w:r>
      <w:r>
        <w:t>l’esprit</w:t>
      </w:r>
      <w:r>
        <w:rPr>
          <w:spacing w:val="-8"/>
        </w:rPr>
        <w:t xml:space="preserve"> </w:t>
      </w:r>
      <w:r>
        <w:t>du</w:t>
      </w:r>
      <w:r>
        <w:rPr>
          <w:spacing w:val="4"/>
        </w:rPr>
        <w:t xml:space="preserve"> </w:t>
      </w:r>
      <w:r>
        <w:rPr>
          <w:spacing w:val="-2"/>
        </w:rPr>
        <w:t>public;</w:t>
      </w:r>
    </w:p>
    <w:p w14:paraId="29B3C0FD" w14:textId="77777777" w:rsidR="00E32F98" w:rsidRDefault="00E32F98">
      <w:pPr>
        <w:pStyle w:val="Corpsdetexte"/>
        <w:spacing w:before="8"/>
      </w:pPr>
    </w:p>
    <w:p w14:paraId="6FFF7C1B" w14:textId="77777777" w:rsidR="00E32F98" w:rsidRDefault="00000000">
      <w:pPr>
        <w:pStyle w:val="Corpsdetexte"/>
        <w:spacing w:line="235" w:lineRule="auto"/>
        <w:ind w:left="166" w:right="164"/>
        <w:jc w:val="both"/>
      </w:pPr>
      <w:r>
        <w:t>Cette liste n’est pas exhaustive et d’autres critères peuvent être pertinents en fonction des circonstances particulières. En outre, l’existence d’un «lien» peut être établie sur la base</w:t>
      </w:r>
      <w:r>
        <w:rPr>
          <w:spacing w:val="-9"/>
        </w:rPr>
        <w:t xml:space="preserve"> </w:t>
      </w:r>
      <w:r>
        <w:t>de certains de ces critères seulement;</w:t>
      </w:r>
    </w:p>
    <w:p w14:paraId="3748FB9D" w14:textId="77777777" w:rsidR="00E32F98" w:rsidRDefault="00E32F98">
      <w:pPr>
        <w:pStyle w:val="Corpsdetexte"/>
        <w:spacing w:before="5"/>
      </w:pPr>
    </w:p>
    <w:p w14:paraId="05E98DC8" w14:textId="77777777" w:rsidR="00E32F98" w:rsidRDefault="00000000">
      <w:pPr>
        <w:pStyle w:val="Corpsdetexte"/>
        <w:spacing w:before="1"/>
        <w:ind w:left="166" w:right="147"/>
        <w:jc w:val="both"/>
      </w:pPr>
      <w:r>
        <w:t>Bien que la renommée ait été établie précédemment pour l’ensemble de l’Union, ce qui excluait la forte renommée de la marque en Italie, il convient néanmoins de noter que</w:t>
      </w:r>
      <w:r>
        <w:rPr>
          <w:spacing w:val="-10"/>
        </w:rPr>
        <w:t xml:space="preserve"> </w:t>
      </w:r>
      <w:r>
        <w:t>le</w:t>
      </w:r>
      <w:r>
        <w:rPr>
          <w:spacing w:val="-10"/>
        </w:rPr>
        <w:t xml:space="preserve"> </w:t>
      </w:r>
      <w:r>
        <w:t xml:space="preserve">lien doit être apprécié sur la base de la perception du public effectif pour lequel la marque de l’Union européenne antérieure a été considérée comme renommée, car seul ce public, qui est familier avec la marque de l’Union européenne, peut éventuellement établir un lien entre les marques (03/09/2015, C-125/14, Be impulsive/Impulse, EU:C:2015:539, § 29, 34). Comme indiqué précédemment, en l’espèce, il s’agit </w:t>
      </w:r>
      <w:r>
        <w:rPr>
          <w:rFonts w:ascii="Arial" w:hAnsi="Arial"/>
          <w:b/>
        </w:rPr>
        <w:t>des consommateurs italiens</w:t>
      </w:r>
      <w:r>
        <w:t>, pour lesquels la division d’annulation considère que la renommée a été particulièrement prononcée au moyen des indications et des références figurant dans les éléments de</w:t>
      </w:r>
      <w:r>
        <w:rPr>
          <w:spacing w:val="40"/>
        </w:rPr>
        <w:t xml:space="preserve"> </w:t>
      </w:r>
      <w:r>
        <w:rPr>
          <w:spacing w:val="-2"/>
        </w:rPr>
        <w:t>preuve.</w:t>
      </w:r>
    </w:p>
    <w:p w14:paraId="6BF0D9AA" w14:textId="77777777" w:rsidR="00E32F98" w:rsidRDefault="00E32F98">
      <w:pPr>
        <w:pStyle w:val="Corpsdetexte"/>
        <w:spacing w:before="13"/>
      </w:pPr>
    </w:p>
    <w:p w14:paraId="11DB4ED0" w14:textId="77777777" w:rsidR="00E32F98" w:rsidRDefault="00000000">
      <w:pPr>
        <w:pStyle w:val="Corpsdetexte"/>
        <w:spacing w:line="235" w:lineRule="auto"/>
        <w:ind w:left="166" w:right="166"/>
        <w:jc w:val="both"/>
      </w:pPr>
      <w:r>
        <w:t>L’établissement d’un lien, s’il est déclenché par la similitude (ou l’identité) entre les signes, exige que les publics pertinents pour chacun des produits et services désignés par les marques en conflit soient les mêmes ou se</w:t>
      </w:r>
      <w:r>
        <w:rPr>
          <w:spacing w:val="-4"/>
        </w:rPr>
        <w:t xml:space="preserve"> </w:t>
      </w:r>
      <w:r>
        <w:t>chevauchent dans une certaine mesure.</w:t>
      </w:r>
    </w:p>
    <w:p w14:paraId="256B4560" w14:textId="77777777" w:rsidR="00E32F98" w:rsidRDefault="00E32F98">
      <w:pPr>
        <w:pStyle w:val="Corpsdetexte"/>
        <w:spacing w:before="5"/>
      </w:pPr>
    </w:p>
    <w:p w14:paraId="1F51361D" w14:textId="77777777" w:rsidR="00E32F98" w:rsidRDefault="00000000">
      <w:pPr>
        <w:pStyle w:val="Corpsdetexte"/>
        <w:ind w:left="166"/>
        <w:jc w:val="both"/>
      </w:pPr>
      <w:r>
        <w:t>Selon</w:t>
      </w:r>
      <w:r>
        <w:rPr>
          <w:spacing w:val="3"/>
        </w:rPr>
        <w:t xml:space="preserve"> </w:t>
      </w:r>
      <w:r>
        <w:t>la</w:t>
      </w:r>
      <w:r>
        <w:rPr>
          <w:spacing w:val="-11"/>
        </w:rPr>
        <w:t xml:space="preserve"> </w:t>
      </w:r>
      <w:r>
        <w:t>Cour</w:t>
      </w:r>
      <w:r>
        <w:rPr>
          <w:spacing w:val="-6"/>
        </w:rPr>
        <w:t xml:space="preserve"> </w:t>
      </w:r>
      <w:r>
        <w:t>de</w:t>
      </w:r>
      <w:r>
        <w:rPr>
          <w:spacing w:val="-11"/>
        </w:rPr>
        <w:t xml:space="preserve"> </w:t>
      </w:r>
      <w:r>
        <w:t>justice</w:t>
      </w:r>
      <w:r>
        <w:rPr>
          <w:spacing w:val="-11"/>
        </w:rPr>
        <w:t xml:space="preserve"> </w:t>
      </w:r>
      <w:r>
        <w:t>de</w:t>
      </w:r>
      <w:r>
        <w:rPr>
          <w:spacing w:val="-11"/>
        </w:rPr>
        <w:t xml:space="preserve"> </w:t>
      </w:r>
      <w:r>
        <w:t>l’Union</w:t>
      </w:r>
      <w:r>
        <w:rPr>
          <w:spacing w:val="17"/>
        </w:rPr>
        <w:t xml:space="preserve"> </w:t>
      </w:r>
      <w:r>
        <w:rPr>
          <w:spacing w:val="-2"/>
        </w:rPr>
        <w:t>européenne,</w:t>
      </w:r>
    </w:p>
    <w:p w14:paraId="0995BFE5" w14:textId="77777777" w:rsidR="00E32F98" w:rsidRDefault="00E32F98">
      <w:pPr>
        <w:pStyle w:val="Corpsdetexte"/>
        <w:spacing w:before="4"/>
      </w:pPr>
    </w:p>
    <w:p w14:paraId="50EF60FF" w14:textId="77777777" w:rsidR="00E32F98" w:rsidRDefault="00000000">
      <w:pPr>
        <w:pStyle w:val="Corpsdetexte"/>
        <w:spacing w:before="1" w:line="242" w:lineRule="auto"/>
        <w:ind w:left="767" w:right="144"/>
        <w:jc w:val="both"/>
      </w:pPr>
      <w:r>
        <w:t>Il ne saurait ainsi être exclu que le public concerné par les produits ou les services pour lesquels la marque antérieure a été enregistrée soit tout à fait distinct de celui concerné</w:t>
      </w:r>
      <w:r>
        <w:rPr>
          <w:spacing w:val="22"/>
        </w:rPr>
        <w:t xml:space="preserve"> </w:t>
      </w:r>
      <w:r>
        <w:t>par</w:t>
      </w:r>
      <w:r>
        <w:rPr>
          <w:spacing w:val="27"/>
        </w:rPr>
        <w:t xml:space="preserve"> </w:t>
      </w:r>
      <w:r>
        <w:t>les</w:t>
      </w:r>
      <w:r>
        <w:rPr>
          <w:spacing w:val="34"/>
        </w:rPr>
        <w:t xml:space="preserve"> </w:t>
      </w:r>
      <w:r>
        <w:t>produits</w:t>
      </w:r>
      <w:r>
        <w:rPr>
          <w:spacing w:val="34"/>
        </w:rPr>
        <w:t xml:space="preserve"> </w:t>
      </w:r>
      <w:r>
        <w:t>ou</w:t>
      </w:r>
      <w:r>
        <w:rPr>
          <w:spacing w:val="22"/>
        </w:rPr>
        <w:t xml:space="preserve"> </w:t>
      </w:r>
      <w:r>
        <w:t>les</w:t>
      </w:r>
      <w:r>
        <w:rPr>
          <w:spacing w:val="34"/>
        </w:rPr>
        <w:t xml:space="preserve"> </w:t>
      </w:r>
      <w:r>
        <w:t>services</w:t>
      </w:r>
      <w:r>
        <w:rPr>
          <w:spacing w:val="34"/>
        </w:rPr>
        <w:t xml:space="preserve"> </w:t>
      </w:r>
      <w:r>
        <w:t>pour</w:t>
      </w:r>
      <w:r>
        <w:rPr>
          <w:spacing w:val="27"/>
        </w:rPr>
        <w:t xml:space="preserve"> </w:t>
      </w:r>
      <w:r>
        <w:t>lesquels</w:t>
      </w:r>
      <w:r>
        <w:rPr>
          <w:spacing w:val="34"/>
        </w:rPr>
        <w:t xml:space="preserve"> </w:t>
      </w:r>
      <w:r>
        <w:t>la marque postérieure a été</w:t>
      </w:r>
    </w:p>
    <w:p w14:paraId="0A69084E" w14:textId="77777777" w:rsidR="00E32F98" w:rsidRDefault="00E32F98">
      <w:pPr>
        <w:pStyle w:val="Corpsdetexte"/>
        <w:spacing w:line="242" w:lineRule="auto"/>
        <w:jc w:val="both"/>
        <w:sectPr w:rsidR="00E32F98">
          <w:pgSz w:w="11910" w:h="16850"/>
          <w:pgMar w:top="1000" w:right="1275" w:bottom="280" w:left="1275" w:header="727" w:footer="0" w:gutter="0"/>
          <w:cols w:space="720"/>
        </w:sectPr>
      </w:pPr>
    </w:p>
    <w:p w14:paraId="7A7060DD" w14:textId="77777777" w:rsidR="00E32F98" w:rsidRDefault="00000000">
      <w:pPr>
        <w:pStyle w:val="Corpsdetexte"/>
        <w:spacing w:before="188"/>
      </w:pPr>
      <w:r>
        <w:rPr>
          <w:noProof/>
        </w:rPr>
        <w:lastRenderedPageBreak/>
        <mc:AlternateContent>
          <mc:Choice Requires="wps">
            <w:drawing>
              <wp:anchor distT="0" distB="0" distL="0" distR="0" simplePos="0" relativeHeight="15746560" behindDoc="0" locked="0" layoutInCell="1" allowOverlap="1" wp14:anchorId="14101FA6" wp14:editId="499AEA7C">
                <wp:simplePos x="0" y="0"/>
                <wp:positionH relativeFrom="page">
                  <wp:posOffset>270575</wp:posOffset>
                </wp:positionH>
                <wp:positionV relativeFrom="page">
                  <wp:posOffset>1118555</wp:posOffset>
                </wp:positionV>
                <wp:extent cx="146050" cy="921004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1CFD0680"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46560" type="#_x0000_t202" id="docshape72"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4440F7E5" w14:textId="77777777" w:rsidR="00E32F98" w:rsidRDefault="00000000">
      <w:pPr>
        <w:pStyle w:val="Corpsdetexte"/>
        <w:spacing w:line="237" w:lineRule="auto"/>
        <w:ind w:left="767" w:right="145"/>
        <w:jc w:val="both"/>
      </w:pPr>
      <w:r>
        <w:t>enregistrée, et que le marque antérieure, quoique renommée, soit inconnue du public visé par la marque postérieure. En pareil</w:t>
      </w:r>
      <w:r>
        <w:rPr>
          <w:spacing w:val="-6"/>
        </w:rPr>
        <w:t xml:space="preserve"> </w:t>
      </w:r>
      <w:r>
        <w:t>cas,</w:t>
      </w:r>
      <w:r>
        <w:rPr>
          <w:spacing w:val="-3"/>
        </w:rPr>
        <w:t xml:space="preserve"> </w:t>
      </w:r>
      <w:r>
        <w:t>le</w:t>
      </w:r>
      <w:r>
        <w:rPr>
          <w:spacing w:val="-6"/>
        </w:rPr>
        <w:t xml:space="preserve"> </w:t>
      </w:r>
      <w:r>
        <w:t>public visé</w:t>
      </w:r>
      <w:r>
        <w:rPr>
          <w:spacing w:val="-6"/>
        </w:rPr>
        <w:t xml:space="preserve"> </w:t>
      </w:r>
      <w:r>
        <w:t>par</w:t>
      </w:r>
      <w:r>
        <w:rPr>
          <w:spacing w:val="-1"/>
        </w:rPr>
        <w:t xml:space="preserve"> </w:t>
      </w:r>
      <w:r>
        <w:t>chacune</w:t>
      </w:r>
      <w:r>
        <w:rPr>
          <w:spacing w:val="-6"/>
        </w:rPr>
        <w:t xml:space="preserve"> </w:t>
      </w:r>
      <w:r>
        <w:t>des marques peut ne jamais être mis en présence de l’autre marque, de sorte qu’il</w:t>
      </w:r>
      <w:r>
        <w:rPr>
          <w:spacing w:val="-8"/>
        </w:rPr>
        <w:t xml:space="preserve"> </w:t>
      </w:r>
      <w:r>
        <w:t>n’établira</w:t>
      </w:r>
      <w:r>
        <w:rPr>
          <w:spacing w:val="-8"/>
        </w:rPr>
        <w:t xml:space="preserve"> </w:t>
      </w:r>
      <w:r>
        <w:t>aucun lien entre ces marques.</w:t>
      </w:r>
    </w:p>
    <w:p w14:paraId="0B72DE8B" w14:textId="77777777" w:rsidR="00E32F98" w:rsidRDefault="00E32F98">
      <w:pPr>
        <w:pStyle w:val="Corpsdetexte"/>
        <w:spacing w:before="4"/>
      </w:pPr>
    </w:p>
    <w:p w14:paraId="50D01F83" w14:textId="77777777" w:rsidR="00E32F98" w:rsidRDefault="00000000">
      <w:pPr>
        <w:pStyle w:val="Corpsdetexte"/>
        <w:ind w:left="166"/>
      </w:pPr>
      <w:r>
        <w:t>(27/11/2008,</w:t>
      </w:r>
      <w:r>
        <w:rPr>
          <w:spacing w:val="-8"/>
        </w:rPr>
        <w:t xml:space="preserve"> </w:t>
      </w:r>
      <w:r>
        <w:t>C-252/07,</w:t>
      </w:r>
      <w:r>
        <w:rPr>
          <w:spacing w:val="-8"/>
        </w:rPr>
        <w:t xml:space="preserve"> </w:t>
      </w:r>
      <w:r>
        <w:t>Intel,</w:t>
      </w:r>
      <w:r>
        <w:rPr>
          <w:spacing w:val="4"/>
        </w:rPr>
        <w:t xml:space="preserve"> </w:t>
      </w:r>
      <w:r>
        <w:t>EU:C:2008:655,</w:t>
      </w:r>
      <w:r>
        <w:rPr>
          <w:spacing w:val="-7"/>
        </w:rPr>
        <w:t xml:space="preserve"> </w:t>
      </w:r>
      <w:r>
        <w:t>§</w:t>
      </w:r>
      <w:r>
        <w:rPr>
          <w:spacing w:val="-10"/>
        </w:rPr>
        <w:t xml:space="preserve"> </w:t>
      </w:r>
      <w:r>
        <w:rPr>
          <w:spacing w:val="-4"/>
        </w:rPr>
        <w:t>48).</w:t>
      </w:r>
    </w:p>
    <w:p w14:paraId="5B55B416" w14:textId="77777777" w:rsidR="00E32F98" w:rsidRDefault="00E32F98">
      <w:pPr>
        <w:pStyle w:val="Corpsdetexte"/>
        <w:spacing w:before="4"/>
      </w:pPr>
    </w:p>
    <w:p w14:paraId="01EAA57C" w14:textId="77777777" w:rsidR="00E32F98" w:rsidRDefault="00000000">
      <w:pPr>
        <w:pStyle w:val="Corpsdetexte"/>
        <w:spacing w:before="1"/>
        <w:ind w:left="166"/>
      </w:pPr>
      <w:r>
        <w:t>La</w:t>
      </w:r>
      <w:r>
        <w:rPr>
          <w:spacing w:val="-10"/>
        </w:rPr>
        <w:t xml:space="preserve"> </w:t>
      </w:r>
      <w:r>
        <w:t>Cour</w:t>
      </w:r>
      <w:r>
        <w:rPr>
          <w:spacing w:val="-3"/>
        </w:rPr>
        <w:t xml:space="preserve"> </w:t>
      </w:r>
      <w:r>
        <w:t>de</w:t>
      </w:r>
      <w:r>
        <w:rPr>
          <w:spacing w:val="6"/>
        </w:rPr>
        <w:t xml:space="preserve"> </w:t>
      </w:r>
      <w:r>
        <w:t>justice</w:t>
      </w:r>
      <w:r>
        <w:rPr>
          <w:spacing w:val="-22"/>
        </w:rPr>
        <w:t xml:space="preserve"> </w:t>
      </w:r>
      <w:r>
        <w:t>a</w:t>
      </w:r>
      <w:r>
        <w:rPr>
          <w:spacing w:val="6"/>
        </w:rPr>
        <w:t xml:space="preserve"> </w:t>
      </w:r>
      <w:r>
        <w:t>également</w:t>
      </w:r>
      <w:r>
        <w:rPr>
          <w:spacing w:val="-6"/>
        </w:rPr>
        <w:t xml:space="preserve"> </w:t>
      </w:r>
      <w:r>
        <w:t>relevé</w:t>
      </w:r>
      <w:r>
        <w:rPr>
          <w:spacing w:val="7"/>
        </w:rPr>
        <w:t xml:space="preserve"> </w:t>
      </w:r>
      <w:r>
        <w:t>ce</w:t>
      </w:r>
      <w:r>
        <w:rPr>
          <w:spacing w:val="-9"/>
        </w:rPr>
        <w:t xml:space="preserve"> </w:t>
      </w:r>
      <w:r>
        <w:t>qui</w:t>
      </w:r>
      <w:r>
        <w:rPr>
          <w:spacing w:val="-8"/>
        </w:rPr>
        <w:t xml:space="preserve"> </w:t>
      </w:r>
      <w:r>
        <w:rPr>
          <w:spacing w:val="-4"/>
        </w:rPr>
        <w:t>suit:</w:t>
      </w:r>
    </w:p>
    <w:p w14:paraId="21DB3255" w14:textId="77777777" w:rsidR="00E32F98" w:rsidRDefault="00E32F98">
      <w:pPr>
        <w:pStyle w:val="Corpsdetexte"/>
        <w:spacing w:before="4"/>
      </w:pPr>
    </w:p>
    <w:p w14:paraId="7126A7C4" w14:textId="77777777" w:rsidR="00E32F98" w:rsidRDefault="00000000">
      <w:pPr>
        <w:pStyle w:val="Corpsdetexte"/>
        <w:ind w:left="767" w:right="155"/>
        <w:jc w:val="both"/>
      </w:pPr>
      <w:r>
        <w:t>&amp;bra;... &amp;ket; que certaines marques peuvent avoir acquis une renommée</w:t>
      </w:r>
      <w:r>
        <w:rPr>
          <w:spacing w:val="-12"/>
        </w:rPr>
        <w:t xml:space="preserve"> </w:t>
      </w:r>
      <w:r>
        <w:t>telle</w:t>
      </w:r>
      <w:r>
        <w:rPr>
          <w:spacing w:val="-12"/>
        </w:rPr>
        <w:t xml:space="preserve"> </w:t>
      </w:r>
      <w:r>
        <w:t>qu’elle va au-delà du public pertinent en ce qui concerne les produits ou les services pour lesquels ces marques ont été enregistrées. Dans une telle hypothèse, il est possible que le public concerné par les produits ou les services pour lesquels la marque postérieure est enregistrée effectue un rapprochement entre les marques en conflit alors même qu’il serait tout à fait distinct du public concerné par les produits ou les services pour lesquels la marque antérieure a été enregistrée.</w:t>
      </w:r>
    </w:p>
    <w:p w14:paraId="72FF0695" w14:textId="77777777" w:rsidR="00E32F98" w:rsidRDefault="00E32F98">
      <w:pPr>
        <w:pStyle w:val="Corpsdetexte"/>
        <w:spacing w:before="3"/>
      </w:pPr>
    </w:p>
    <w:p w14:paraId="3CAC700D" w14:textId="77777777" w:rsidR="00E32F98" w:rsidRDefault="00000000">
      <w:pPr>
        <w:pStyle w:val="Corpsdetexte"/>
        <w:ind w:left="166"/>
      </w:pPr>
      <w:r>
        <w:t>(27/11/2008,</w:t>
      </w:r>
      <w:r>
        <w:rPr>
          <w:spacing w:val="-8"/>
        </w:rPr>
        <w:t xml:space="preserve"> </w:t>
      </w:r>
      <w:r>
        <w:t>C-252/07,</w:t>
      </w:r>
      <w:r>
        <w:rPr>
          <w:spacing w:val="-7"/>
        </w:rPr>
        <w:t xml:space="preserve"> </w:t>
      </w:r>
      <w:r>
        <w:t>Intel,</w:t>
      </w:r>
      <w:r>
        <w:rPr>
          <w:spacing w:val="4"/>
        </w:rPr>
        <w:t xml:space="preserve"> </w:t>
      </w:r>
      <w:r>
        <w:t>EU:C:2008:655,</w:t>
      </w:r>
      <w:r>
        <w:rPr>
          <w:spacing w:val="-7"/>
        </w:rPr>
        <w:t xml:space="preserve"> </w:t>
      </w:r>
      <w:r>
        <w:t>§</w:t>
      </w:r>
      <w:r>
        <w:rPr>
          <w:spacing w:val="-10"/>
        </w:rPr>
        <w:t xml:space="preserve"> </w:t>
      </w:r>
      <w:r>
        <w:t>51-</w:t>
      </w:r>
      <w:r>
        <w:rPr>
          <w:spacing w:val="-4"/>
        </w:rPr>
        <w:t>52).</w:t>
      </w:r>
    </w:p>
    <w:p w14:paraId="3E53682E" w14:textId="77777777" w:rsidR="00E32F98" w:rsidRDefault="00000000">
      <w:pPr>
        <w:pStyle w:val="Corpsdetexte"/>
        <w:spacing w:before="243"/>
        <w:ind w:left="166" w:right="148"/>
        <w:jc w:val="both"/>
      </w:pPr>
      <w:r>
        <w:t>En l’espèce, les signes présentent</w:t>
      </w:r>
      <w:r>
        <w:rPr>
          <w:spacing w:val="-7"/>
        </w:rPr>
        <w:t xml:space="preserve"> </w:t>
      </w:r>
      <w:r>
        <w:t>certaines similitudes puisqu’ils coïncident</w:t>
      </w:r>
      <w:r>
        <w:rPr>
          <w:spacing w:val="-7"/>
        </w:rPr>
        <w:t xml:space="preserve"> </w:t>
      </w:r>
      <w:r>
        <w:t>dans la</w:t>
      </w:r>
      <w:r>
        <w:rPr>
          <w:spacing w:val="-10"/>
        </w:rPr>
        <w:t xml:space="preserve"> </w:t>
      </w:r>
      <w:r>
        <w:t>suite</w:t>
      </w:r>
      <w:r>
        <w:rPr>
          <w:spacing w:val="-10"/>
        </w:rPr>
        <w:t xml:space="preserve"> </w:t>
      </w:r>
      <w:r>
        <w:t>de lettres «MON». Toutefois, cela ne signifie pas que le</w:t>
      </w:r>
      <w:r>
        <w:rPr>
          <w:spacing w:val="-12"/>
        </w:rPr>
        <w:t xml:space="preserve"> </w:t>
      </w:r>
      <w:r>
        <w:t>public pertinent</w:t>
      </w:r>
      <w:r>
        <w:rPr>
          <w:spacing w:val="-9"/>
        </w:rPr>
        <w:t xml:space="preserve"> </w:t>
      </w:r>
      <w:r>
        <w:t>est</w:t>
      </w:r>
      <w:r>
        <w:rPr>
          <w:spacing w:val="-9"/>
        </w:rPr>
        <w:t xml:space="preserve"> </w:t>
      </w:r>
      <w:r>
        <w:t>susceptible</w:t>
      </w:r>
      <w:r>
        <w:rPr>
          <w:spacing w:val="-12"/>
        </w:rPr>
        <w:t xml:space="preserve"> </w:t>
      </w:r>
      <w:r>
        <w:t>d’établir automatiquement un lien entre eux. Si l’on tient compte des produits et</w:t>
      </w:r>
      <w:r>
        <w:rPr>
          <w:spacing w:val="-6"/>
        </w:rPr>
        <w:t xml:space="preserve"> </w:t>
      </w:r>
      <w:r>
        <w:t>services en</w:t>
      </w:r>
      <w:r>
        <w:rPr>
          <w:spacing w:val="-9"/>
        </w:rPr>
        <w:t xml:space="preserve"> </w:t>
      </w:r>
      <w:r>
        <w:t>cause,</w:t>
      </w:r>
      <w:r>
        <w:rPr>
          <w:spacing w:val="-6"/>
        </w:rPr>
        <w:t xml:space="preserve"> </w:t>
      </w:r>
      <w:r>
        <w:t>il est clair que les similitudes entre les signes en conflit concernent des éléments qui ne</w:t>
      </w:r>
      <w:r>
        <w:rPr>
          <w:spacing w:val="-8"/>
        </w:rPr>
        <w:t xml:space="preserve"> </w:t>
      </w:r>
      <w:r>
        <w:t xml:space="preserve">sont pas des unités identifiables de manière indépendante au sein des signes, pas plus qu’ils ne constituent la partie plus longue des marques. Les deux signes sont des marques verbales composées d’un seul élément verbal et, bien qu’elles commencent par les mêmes lettres, elles ont des terminaisons relativement différentes, à savoir «CLER» et «TEC». Ces deux éléments différents des signes ne sont pas séparés graphiquement et font partie intégrante des signes. À ce stade, il convient de rappeler que la marque antérieure «Moncler» jouit d’une reconnaissance pour </w:t>
      </w:r>
      <w:r>
        <w:rPr>
          <w:u w:val="single"/>
        </w:rPr>
        <w:t>son intégralité</w:t>
      </w:r>
      <w:r>
        <w:t xml:space="preserve"> et non pour ses éléments distincts, et encore moins pour sa suite initiale de lettres «MON». Comme la titulaire de la marque de l’Union européenne l’a actuellement souligné à cet égard, la marque antérieure ne jouit pas d’une renommée pour l’élément unique «MON» et ne saurait détenir un monopole sur ce point. Parconséquent, la division d’annulation n’a aucune raison de supposer que les consommateurs</w:t>
      </w:r>
      <w:r>
        <w:rPr>
          <w:spacing w:val="21"/>
        </w:rPr>
        <w:t xml:space="preserve"> </w:t>
      </w:r>
      <w:r>
        <w:t>isoleront</w:t>
      </w:r>
      <w:r>
        <w:rPr>
          <w:spacing w:val="-4"/>
        </w:rPr>
        <w:t xml:space="preserve"> </w:t>
      </w:r>
      <w:r>
        <w:t>artificiellement</w:t>
      </w:r>
      <w:r>
        <w:rPr>
          <w:spacing w:val="-4"/>
        </w:rPr>
        <w:t xml:space="preserve"> </w:t>
      </w:r>
      <w:r>
        <w:t>une</w:t>
      </w:r>
      <w:r>
        <w:rPr>
          <w:spacing w:val="-7"/>
        </w:rPr>
        <w:t xml:space="preserve"> </w:t>
      </w:r>
      <w:r>
        <w:t>partie</w:t>
      </w:r>
      <w:r>
        <w:rPr>
          <w:spacing w:val="-7"/>
        </w:rPr>
        <w:t xml:space="preserve"> </w:t>
      </w:r>
      <w:r>
        <w:t>des éléments du</w:t>
      </w:r>
      <w:r>
        <w:rPr>
          <w:spacing w:val="-7"/>
        </w:rPr>
        <w:t xml:space="preserve"> </w:t>
      </w:r>
      <w:r>
        <w:t>signe</w:t>
      </w:r>
      <w:r>
        <w:rPr>
          <w:spacing w:val="-7"/>
        </w:rPr>
        <w:t xml:space="preserve"> </w:t>
      </w:r>
      <w:r>
        <w:t>et</w:t>
      </w:r>
      <w:r>
        <w:rPr>
          <w:spacing w:val="-4"/>
        </w:rPr>
        <w:t xml:space="preserve"> </w:t>
      </w:r>
      <w:r>
        <w:t>les associeront à d’autres marques pour la simple coïncidence de lettres aléatoires. En l’absence de toute autre preuve de la part de la demanderesse, cette vitrine semble peu plausible.</w:t>
      </w:r>
      <w:r>
        <w:rPr>
          <w:spacing w:val="-6"/>
        </w:rPr>
        <w:t xml:space="preserve"> </w:t>
      </w:r>
      <w:r>
        <w:t>Enoutre,</w:t>
      </w:r>
      <w:r>
        <w:rPr>
          <w:spacing w:val="-6"/>
        </w:rPr>
        <w:t xml:space="preserve"> </w:t>
      </w:r>
      <w:r>
        <w:t>il</w:t>
      </w:r>
      <w:r>
        <w:rPr>
          <w:spacing w:val="-9"/>
        </w:rPr>
        <w:t xml:space="preserve"> </w:t>
      </w:r>
      <w:r>
        <w:t>a déjà été mentionné ci-dessus que</w:t>
      </w:r>
      <w:r>
        <w:rPr>
          <w:spacing w:val="-9"/>
        </w:rPr>
        <w:t xml:space="preserve"> </w:t>
      </w:r>
      <w:r>
        <w:t>les consommateurs italiens pourraient</w:t>
      </w:r>
      <w:r>
        <w:rPr>
          <w:spacing w:val="-6"/>
        </w:rPr>
        <w:t xml:space="preserve"> </w:t>
      </w:r>
      <w:r>
        <w:t>également</w:t>
      </w:r>
      <w:r>
        <w:rPr>
          <w:spacing w:val="-6"/>
        </w:rPr>
        <w:t xml:space="preserve"> </w:t>
      </w:r>
      <w:r>
        <w:t>voir</w:t>
      </w:r>
      <w:r>
        <w:rPr>
          <w:spacing w:val="-4"/>
        </w:rPr>
        <w:t xml:space="preserve"> </w:t>
      </w:r>
      <w:r>
        <w:t>des connotations dans le signe contesté, à savoir la référence à</w:t>
      </w:r>
      <w:r>
        <w:rPr>
          <w:spacing w:val="-7"/>
        </w:rPr>
        <w:t xml:space="preserve"> </w:t>
      </w:r>
      <w:r>
        <w:t>«monte»</w:t>
      </w:r>
      <w:r>
        <w:rPr>
          <w:spacing w:val="-7"/>
        </w:rPr>
        <w:t xml:space="preserve"> </w:t>
      </w:r>
      <w:r>
        <w:t>comme</w:t>
      </w:r>
      <w:r>
        <w:rPr>
          <w:spacing w:val="-7"/>
        </w:rPr>
        <w:t xml:space="preserve"> </w:t>
      </w:r>
      <w:r>
        <w:t xml:space="preserve">en montagne. Si tel était le cas, cela éloignerait encore davantage le signe contesté de la marque </w:t>
      </w:r>
      <w:r>
        <w:rPr>
          <w:spacing w:val="-2"/>
        </w:rPr>
        <w:t>antérieure.</w:t>
      </w:r>
    </w:p>
    <w:p w14:paraId="20D0952A" w14:textId="77777777" w:rsidR="00E32F98" w:rsidRDefault="00E32F98">
      <w:pPr>
        <w:pStyle w:val="Corpsdetexte"/>
        <w:spacing w:before="6"/>
      </w:pPr>
    </w:p>
    <w:p w14:paraId="7CF727AC" w14:textId="77777777" w:rsidR="00E32F98" w:rsidRDefault="00000000">
      <w:pPr>
        <w:pStyle w:val="Corpsdetexte"/>
        <w:spacing w:line="242" w:lineRule="auto"/>
        <w:ind w:left="166" w:right="151"/>
        <w:jc w:val="both"/>
      </w:pPr>
      <w:r>
        <w:t>Dès</w:t>
      </w:r>
      <w:r>
        <w:rPr>
          <w:spacing w:val="40"/>
        </w:rPr>
        <w:t xml:space="preserve"> </w:t>
      </w:r>
      <w:r>
        <w:t>lors, compte tenu de l’impact global de l’élément commun en cause, les similitudes entre la marque contestée et la marque antérieure ne sont pas susceptibles d’évoquer la marque antérieure dans l’esprit du consommateur moyen.</w:t>
      </w:r>
    </w:p>
    <w:p w14:paraId="30B9F343" w14:textId="77777777" w:rsidR="00E32F98" w:rsidRDefault="00E32F98">
      <w:pPr>
        <w:pStyle w:val="Corpsdetexte"/>
        <w:spacing w:before="2"/>
      </w:pPr>
    </w:p>
    <w:p w14:paraId="68B61BE4" w14:textId="77777777" w:rsidR="00E32F98" w:rsidRDefault="00000000">
      <w:pPr>
        <w:pStyle w:val="Corpsdetexte"/>
        <w:ind w:left="166" w:right="148"/>
        <w:jc w:val="both"/>
      </w:pPr>
      <w:r>
        <w:t>En outre, aucun lien ne sera établi également par la partie restante du public en dehors de l’Italie.</w:t>
      </w:r>
      <w:r>
        <w:rPr>
          <w:spacing w:val="40"/>
        </w:rPr>
        <w:t xml:space="preserve"> </w:t>
      </w:r>
      <w:r>
        <w:t>En effet, il serait erroné de conclure à l’existence d’un lien dans une autre partie de l’Union européenne où la marque antérieure est moins connue</w:t>
      </w:r>
      <w:r>
        <w:rPr>
          <w:spacing w:val="-9"/>
        </w:rPr>
        <w:t xml:space="preserve"> </w:t>
      </w:r>
      <w:r>
        <w:t>ou</w:t>
      </w:r>
      <w:r>
        <w:rPr>
          <w:spacing w:val="-9"/>
        </w:rPr>
        <w:t xml:space="preserve"> </w:t>
      </w:r>
      <w:r>
        <w:t>inconnue</w:t>
      </w:r>
      <w:r>
        <w:rPr>
          <w:spacing w:val="-9"/>
        </w:rPr>
        <w:t xml:space="preserve"> </w:t>
      </w:r>
      <w:r>
        <w:t>simplement,</w:t>
      </w:r>
      <w:r>
        <w:rPr>
          <w:spacing w:val="-6"/>
        </w:rPr>
        <w:t xml:space="preserve"> </w:t>
      </w:r>
      <w:r>
        <w:t>par exemple, au motif que les marques seraient perçues comme plus similaires (par exemple, pour des raisons linguistiques, ce qui entraîne une absence</w:t>
      </w:r>
      <w:r>
        <w:rPr>
          <w:spacing w:val="-10"/>
        </w:rPr>
        <w:t xml:space="preserve"> </w:t>
      </w:r>
      <w:r>
        <w:t>de</w:t>
      </w:r>
      <w:r>
        <w:rPr>
          <w:spacing w:val="-10"/>
        </w:rPr>
        <w:t xml:space="preserve"> </w:t>
      </w:r>
      <w:r>
        <w:t>différences conceptuelles ou un degré élevé de caractère distinctif de l’élément commun). En tout état</w:t>
      </w:r>
      <w:r>
        <w:rPr>
          <w:spacing w:val="-1"/>
        </w:rPr>
        <w:t xml:space="preserve"> </w:t>
      </w:r>
      <w:r>
        <w:t>de</w:t>
      </w:r>
      <w:r>
        <w:rPr>
          <w:spacing w:val="-4"/>
        </w:rPr>
        <w:t xml:space="preserve"> </w:t>
      </w:r>
      <w:r>
        <w:t>cause,</w:t>
      </w:r>
      <w:r>
        <w:rPr>
          <w:spacing w:val="-1"/>
        </w:rPr>
        <w:t xml:space="preserve"> </w:t>
      </w:r>
      <w:r>
        <w:t>comme déjà expliqué dans la comparaison des signes ci-dessus, ce n’est pas le cas, étant donné que</w:t>
      </w:r>
      <w:r>
        <w:rPr>
          <w:spacing w:val="64"/>
        </w:rPr>
        <w:t xml:space="preserve"> </w:t>
      </w:r>
      <w:r>
        <w:t>les</w:t>
      </w:r>
      <w:r>
        <w:rPr>
          <w:spacing w:val="75"/>
        </w:rPr>
        <w:t xml:space="preserve"> </w:t>
      </w:r>
      <w:r>
        <w:t>marques</w:t>
      </w:r>
      <w:r>
        <w:rPr>
          <w:spacing w:val="61"/>
        </w:rPr>
        <w:t xml:space="preserve"> </w:t>
      </w:r>
      <w:r>
        <w:t>présentent</w:t>
      </w:r>
      <w:r>
        <w:rPr>
          <w:spacing w:val="40"/>
        </w:rPr>
        <w:t xml:space="preserve"> </w:t>
      </w:r>
      <w:r>
        <w:t>des</w:t>
      </w:r>
      <w:r>
        <w:rPr>
          <w:spacing w:val="61"/>
        </w:rPr>
        <w:t xml:space="preserve"> </w:t>
      </w:r>
      <w:r>
        <w:t>différences</w:t>
      </w:r>
      <w:r>
        <w:rPr>
          <w:spacing w:val="61"/>
        </w:rPr>
        <w:t xml:space="preserve"> </w:t>
      </w:r>
      <w:r>
        <w:t>suffisantes</w:t>
      </w:r>
      <w:r>
        <w:rPr>
          <w:spacing w:val="61"/>
        </w:rPr>
        <w:t xml:space="preserve"> </w:t>
      </w:r>
      <w:r>
        <w:t>pour</w:t>
      </w:r>
      <w:r>
        <w:rPr>
          <w:spacing w:val="40"/>
        </w:rPr>
        <w:t xml:space="preserve"> </w:t>
      </w:r>
      <w:r>
        <w:t>toute</w:t>
      </w:r>
      <w:r>
        <w:rPr>
          <w:spacing w:val="40"/>
        </w:rPr>
        <w:t xml:space="preserve"> </w:t>
      </w:r>
      <w:r>
        <w:t>partie</w:t>
      </w:r>
      <w:r>
        <w:rPr>
          <w:spacing w:val="40"/>
        </w:rPr>
        <w:t xml:space="preserve"> </w:t>
      </w:r>
      <w:r>
        <w:t>du</w:t>
      </w:r>
      <w:r>
        <w:rPr>
          <w:spacing w:val="40"/>
        </w:rPr>
        <w:t xml:space="preserve"> </w:t>
      </w:r>
      <w:r>
        <w:t>public</w:t>
      </w:r>
      <w:r>
        <w:rPr>
          <w:spacing w:val="61"/>
        </w:rPr>
        <w:t xml:space="preserve"> </w:t>
      </w:r>
      <w:r>
        <w:t>de</w:t>
      </w:r>
    </w:p>
    <w:p w14:paraId="2D58EFC4" w14:textId="77777777" w:rsidR="00E32F98" w:rsidRDefault="00E32F98">
      <w:pPr>
        <w:pStyle w:val="Corpsdetexte"/>
        <w:jc w:val="both"/>
        <w:sectPr w:rsidR="00E32F98">
          <w:pgSz w:w="11910" w:h="16850"/>
          <w:pgMar w:top="1000" w:right="1275" w:bottom="280" w:left="1275" w:header="727" w:footer="0" w:gutter="0"/>
          <w:cols w:space="720"/>
        </w:sectPr>
      </w:pPr>
    </w:p>
    <w:p w14:paraId="47F3084C" w14:textId="77777777" w:rsidR="00E32F98" w:rsidRDefault="00000000">
      <w:pPr>
        <w:pStyle w:val="Corpsdetexte"/>
        <w:spacing w:before="186"/>
      </w:pPr>
      <w:r>
        <w:rPr>
          <w:noProof/>
        </w:rPr>
        <w:lastRenderedPageBreak/>
        <mc:AlternateContent>
          <mc:Choice Requires="wps">
            <w:drawing>
              <wp:anchor distT="0" distB="0" distL="0" distR="0" simplePos="0" relativeHeight="15747584" behindDoc="0" locked="0" layoutInCell="1" allowOverlap="1" wp14:anchorId="57228650" wp14:editId="6287A126">
                <wp:simplePos x="0" y="0"/>
                <wp:positionH relativeFrom="page">
                  <wp:posOffset>270575</wp:posOffset>
                </wp:positionH>
                <wp:positionV relativeFrom="page">
                  <wp:posOffset>1118555</wp:posOffset>
                </wp:positionV>
                <wp:extent cx="146050" cy="921004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3C391080" w14:textId="77777777" w:rsidR="00E32F98"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[13-09-</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8.075211pt;width:11.5pt;height:725.2pt;mso-position-horizontal-relative:page;mso-position-vertical-relative:page;z-index:15747584" type="#_x0000_t202" id="docshape73"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[13-09-</w:t>
                      </w:r>
                      <w:r>
                        <w:rPr>
                          <w:color w:val="3F3F3F"/>
                          <w:spacing w:val="-2"/>
                          <w:sz w:val="17"/>
                        </w:rPr>
                        <w:t>2024]</w:t>
                      </w:r>
                    </w:p>
                  </w:txbxContent>
                </v:textbox>
                <w10:wrap type="none"/>
              </v:shape>
            </w:pict>
          </mc:Fallback>
        </mc:AlternateContent>
      </w:r>
    </w:p>
    <w:p w14:paraId="51921A22" w14:textId="77777777" w:rsidR="00E32F98" w:rsidRDefault="00000000">
      <w:pPr>
        <w:pStyle w:val="Corpsdetexte"/>
        <w:spacing w:line="242" w:lineRule="auto"/>
        <w:ind w:left="166" w:right="161"/>
        <w:jc w:val="both"/>
      </w:pPr>
      <w:r>
        <w:t>l’Union européenne également, indépendamment d’une signification qui y est perçue ou</w:t>
      </w:r>
      <w:r>
        <w:rPr>
          <w:spacing w:val="80"/>
        </w:rPr>
        <w:t xml:space="preserve"> </w:t>
      </w:r>
      <w:r>
        <w:rPr>
          <w:spacing w:val="-4"/>
        </w:rPr>
        <w:t>non.</w:t>
      </w:r>
    </w:p>
    <w:p w14:paraId="6D0171FA" w14:textId="77777777" w:rsidR="00E32F98" w:rsidRDefault="00000000">
      <w:pPr>
        <w:pStyle w:val="Corpsdetexte"/>
        <w:spacing w:before="239" w:line="242" w:lineRule="auto"/>
        <w:ind w:left="166" w:right="148"/>
        <w:jc w:val="both"/>
      </w:pPr>
      <w:r>
        <w:t>Dès lors, compte tenu et mise en</w:t>
      </w:r>
      <w:r>
        <w:rPr>
          <w:spacing w:val="-6"/>
        </w:rPr>
        <w:t xml:space="preserve"> </w:t>
      </w:r>
      <w:r>
        <w:t>balance</w:t>
      </w:r>
      <w:r>
        <w:rPr>
          <w:spacing w:val="-6"/>
        </w:rPr>
        <w:t xml:space="preserve"> </w:t>
      </w:r>
      <w:r>
        <w:t>de</w:t>
      </w:r>
      <w:r>
        <w:rPr>
          <w:spacing w:val="-6"/>
        </w:rPr>
        <w:t xml:space="preserve"> </w:t>
      </w:r>
      <w:r>
        <w:t>tous les facteurs pertinents du</w:t>
      </w:r>
      <w:r>
        <w:rPr>
          <w:spacing w:val="-6"/>
        </w:rPr>
        <w:t xml:space="preserve"> </w:t>
      </w:r>
      <w:r>
        <w:t>cas d’espèce,</w:t>
      </w:r>
      <w:r>
        <w:rPr>
          <w:spacing w:val="-3"/>
        </w:rPr>
        <w:t xml:space="preserve"> </w:t>
      </w:r>
      <w:r>
        <w:t>il est peu probable que le public pertinent fasse une association mentale entre les signes en conflit, c’est-à-dire établisse un «lien» entre eux, malgré le fait que certains des produits/services</w:t>
      </w:r>
      <w:r>
        <w:rPr>
          <w:spacing w:val="40"/>
        </w:rPr>
        <w:t xml:space="preserve"> </w:t>
      </w:r>
      <w:r>
        <w:t>puissent relever du même secteur de marché. Par conséquent, la demande n’est pas fondée au titre de l’article</w:t>
      </w:r>
      <w:r>
        <w:rPr>
          <w:spacing w:val="-7"/>
        </w:rPr>
        <w:t xml:space="preserve"> </w:t>
      </w:r>
      <w:r>
        <w:t>60, paragraphe</w:t>
      </w:r>
      <w:r>
        <w:rPr>
          <w:spacing w:val="-7"/>
        </w:rPr>
        <w:t xml:space="preserve"> </w:t>
      </w:r>
      <w:r>
        <w:t>1, point</w:t>
      </w:r>
      <w:r>
        <w:rPr>
          <w:spacing w:val="-6"/>
        </w:rPr>
        <w:t xml:space="preserve"> </w:t>
      </w:r>
      <w:r>
        <w:t>a), du RMUE, lu conjointement avec</w:t>
      </w:r>
      <w:r>
        <w:rPr>
          <w:spacing w:val="29"/>
        </w:rPr>
        <w:t xml:space="preserve"> </w:t>
      </w:r>
      <w:r>
        <w:t>l’article</w:t>
      </w:r>
      <w:r>
        <w:rPr>
          <w:spacing w:val="-6"/>
        </w:rPr>
        <w:t xml:space="preserve"> </w:t>
      </w:r>
      <w:r>
        <w:t>8, paragraphe</w:t>
      </w:r>
      <w:r>
        <w:rPr>
          <w:spacing w:val="-8"/>
        </w:rPr>
        <w:t xml:space="preserve"> </w:t>
      </w:r>
      <w:r>
        <w:t>5, du RMUE, et doit être rejetée dans la mesure où elle est fondée sur ce motif.</w:t>
      </w:r>
    </w:p>
    <w:p w14:paraId="6B7E65AD" w14:textId="77777777" w:rsidR="00E32F98" w:rsidRDefault="00E32F98">
      <w:pPr>
        <w:pStyle w:val="Corpsdetexte"/>
        <w:spacing w:before="241"/>
      </w:pPr>
    </w:p>
    <w:p w14:paraId="6B0F8060" w14:textId="77777777" w:rsidR="00E32F98" w:rsidRDefault="00000000">
      <w:pPr>
        <w:pStyle w:val="Titre1"/>
        <w:jc w:val="left"/>
      </w:pPr>
      <w:r>
        <w:rPr>
          <w:spacing w:val="-2"/>
        </w:rPr>
        <w:t>FRAIS</w:t>
      </w:r>
    </w:p>
    <w:p w14:paraId="4CBCDDAF" w14:textId="77777777" w:rsidR="00E32F98" w:rsidRDefault="00E32F98">
      <w:pPr>
        <w:pStyle w:val="Corpsdetexte"/>
        <w:spacing w:before="4"/>
        <w:rPr>
          <w:rFonts w:ascii="Arial"/>
          <w:b/>
        </w:rPr>
      </w:pPr>
    </w:p>
    <w:p w14:paraId="04915154" w14:textId="77777777" w:rsidR="00E32F98" w:rsidRDefault="00000000">
      <w:pPr>
        <w:pStyle w:val="Corpsdetexte"/>
        <w:spacing w:line="242" w:lineRule="auto"/>
        <w:ind w:left="166" w:right="147"/>
        <w:jc w:val="both"/>
      </w:pPr>
      <w:r>
        <w:t>Conformément à l’article</w:t>
      </w:r>
      <w:r>
        <w:rPr>
          <w:spacing w:val="-6"/>
        </w:rPr>
        <w:t xml:space="preserve"> </w:t>
      </w:r>
      <w:r>
        <w:t>109, paragraphe</w:t>
      </w:r>
      <w:r>
        <w:rPr>
          <w:spacing w:val="-6"/>
        </w:rPr>
        <w:t xml:space="preserve"> </w:t>
      </w:r>
      <w:r>
        <w:t>1, du RMUE, la partie perdante dans une procédure</w:t>
      </w:r>
      <w:r>
        <w:rPr>
          <w:spacing w:val="-3"/>
        </w:rPr>
        <w:t xml:space="preserve"> </w:t>
      </w:r>
      <w:r>
        <w:t>d’annulation doit supporter les taxes et frais exposés par l’autre partie.</w:t>
      </w:r>
    </w:p>
    <w:p w14:paraId="55E9B352" w14:textId="77777777" w:rsidR="00E32F98" w:rsidRDefault="00E32F98">
      <w:pPr>
        <w:pStyle w:val="Corpsdetexte"/>
        <w:spacing w:before="13"/>
      </w:pPr>
    </w:p>
    <w:p w14:paraId="01912649" w14:textId="77777777" w:rsidR="00E32F98" w:rsidRDefault="00000000">
      <w:pPr>
        <w:pStyle w:val="Corpsdetexte"/>
        <w:spacing w:line="228" w:lineRule="auto"/>
        <w:ind w:left="166" w:right="163"/>
        <w:jc w:val="both"/>
      </w:pPr>
      <w:r>
        <w:t>La demanderesse étant</w:t>
      </w:r>
      <w:r>
        <w:rPr>
          <w:spacing w:val="40"/>
        </w:rPr>
        <w:t xml:space="preserve"> </w:t>
      </w:r>
      <w:r>
        <w:t>la partie perdante, elle doit supporter les frais exposés par la titulaire de la</w:t>
      </w:r>
      <w:r>
        <w:rPr>
          <w:spacing w:val="-2"/>
        </w:rPr>
        <w:t xml:space="preserve"> </w:t>
      </w:r>
      <w:r>
        <w:t>marque</w:t>
      </w:r>
      <w:r>
        <w:rPr>
          <w:spacing w:val="-2"/>
        </w:rPr>
        <w:t xml:space="preserve"> </w:t>
      </w:r>
      <w:r>
        <w:t>de l’Union européenne</w:t>
      </w:r>
      <w:r>
        <w:rPr>
          <w:spacing w:val="40"/>
        </w:rPr>
        <w:t xml:space="preserve"> </w:t>
      </w:r>
      <w:r>
        <w:t>aux fins de</w:t>
      </w:r>
      <w:r>
        <w:rPr>
          <w:spacing w:val="-2"/>
        </w:rPr>
        <w:t xml:space="preserve"> </w:t>
      </w:r>
      <w:r>
        <w:t>la</w:t>
      </w:r>
      <w:r>
        <w:rPr>
          <w:spacing w:val="-2"/>
        </w:rPr>
        <w:t xml:space="preserve"> </w:t>
      </w:r>
      <w:r>
        <w:t>présente procédure.</w:t>
      </w:r>
    </w:p>
    <w:p w14:paraId="38767BA9" w14:textId="77777777" w:rsidR="00E32F98" w:rsidRDefault="00E32F98">
      <w:pPr>
        <w:pStyle w:val="Corpsdetexte"/>
        <w:spacing w:before="6"/>
      </w:pPr>
    </w:p>
    <w:p w14:paraId="3472E4A1" w14:textId="77777777" w:rsidR="00E32F98" w:rsidRDefault="00000000">
      <w:pPr>
        <w:pStyle w:val="Corpsdetexte"/>
        <w:spacing w:line="242" w:lineRule="auto"/>
        <w:ind w:left="166" w:right="147"/>
        <w:jc w:val="both"/>
      </w:pPr>
      <w:r>
        <w:t>Conformément</w:t>
      </w:r>
      <w:r>
        <w:rPr>
          <w:spacing w:val="40"/>
        </w:rPr>
        <w:t xml:space="preserve"> </w:t>
      </w:r>
      <w:r>
        <w:t>à</w:t>
      </w:r>
      <w:r>
        <w:rPr>
          <w:spacing w:val="40"/>
        </w:rPr>
        <w:t xml:space="preserve"> </w:t>
      </w:r>
      <w:r>
        <w:t>l’article</w:t>
      </w:r>
      <w:r>
        <w:rPr>
          <w:spacing w:val="-6"/>
        </w:rPr>
        <w:t xml:space="preserve"> </w:t>
      </w:r>
      <w:r>
        <w:t>109,</w:t>
      </w:r>
      <w:r>
        <w:rPr>
          <w:spacing w:val="40"/>
        </w:rPr>
        <w:t xml:space="preserve"> </w:t>
      </w:r>
      <w:r>
        <w:t>paragraphe</w:t>
      </w:r>
      <w:r>
        <w:rPr>
          <w:spacing w:val="-7"/>
        </w:rPr>
        <w:t xml:space="preserve"> </w:t>
      </w:r>
      <w:r>
        <w:t>7,</w:t>
      </w:r>
      <w:r>
        <w:rPr>
          <w:spacing w:val="40"/>
        </w:rPr>
        <w:t xml:space="preserve"> </w:t>
      </w:r>
      <w:r>
        <w:t>du</w:t>
      </w:r>
      <w:r>
        <w:rPr>
          <w:spacing w:val="40"/>
        </w:rPr>
        <w:t xml:space="preserve"> </w:t>
      </w:r>
      <w:r>
        <w:t>RMUE</w:t>
      </w:r>
      <w:r>
        <w:rPr>
          <w:spacing w:val="40"/>
        </w:rPr>
        <w:t xml:space="preserve"> </w:t>
      </w:r>
      <w:r>
        <w:t>et</w:t>
      </w:r>
      <w:r>
        <w:rPr>
          <w:spacing w:val="40"/>
        </w:rPr>
        <w:t xml:space="preserve"> </w:t>
      </w:r>
      <w:r>
        <w:t>à</w:t>
      </w:r>
      <w:r>
        <w:rPr>
          <w:spacing w:val="40"/>
        </w:rPr>
        <w:t xml:space="preserve"> </w:t>
      </w:r>
      <w:r>
        <w:t>l’article</w:t>
      </w:r>
      <w:r>
        <w:rPr>
          <w:spacing w:val="-5"/>
        </w:rPr>
        <w:t xml:space="preserve"> </w:t>
      </w:r>
      <w:r>
        <w:t>18,</w:t>
      </w:r>
      <w:r>
        <w:rPr>
          <w:spacing w:val="40"/>
        </w:rPr>
        <w:t xml:space="preserve"> </w:t>
      </w:r>
      <w:r>
        <w:t>paragraphe</w:t>
      </w:r>
      <w:r>
        <w:rPr>
          <w:spacing w:val="-7"/>
        </w:rPr>
        <w:t xml:space="preserve"> </w:t>
      </w:r>
      <w:r>
        <w:t>1, point</w:t>
      </w:r>
      <w:r>
        <w:rPr>
          <w:spacing w:val="-8"/>
        </w:rPr>
        <w:t xml:space="preserve"> </w:t>
      </w:r>
      <w:r>
        <w:t>c)</w:t>
      </w:r>
      <w:r>
        <w:rPr>
          <w:spacing w:val="37"/>
        </w:rPr>
        <w:t xml:space="preserve"> </w:t>
      </w:r>
      <w:r>
        <w:t>ii),</w:t>
      </w:r>
      <w:r>
        <w:rPr>
          <w:spacing w:val="35"/>
        </w:rPr>
        <w:t xml:space="preserve"> </w:t>
      </w:r>
      <w:r>
        <w:t>du REMUE, les frais à payer à la titulaire de la marque de l’Union européenne sont les frais</w:t>
      </w:r>
      <w:r>
        <w:rPr>
          <w:spacing w:val="-2"/>
        </w:rPr>
        <w:t xml:space="preserve"> </w:t>
      </w:r>
      <w:r>
        <w:t>de représentation, qui sont fixés</w:t>
      </w:r>
      <w:r>
        <w:rPr>
          <w:spacing w:val="31"/>
        </w:rPr>
        <w:t xml:space="preserve"> </w:t>
      </w:r>
      <w:r>
        <w:t>sur</w:t>
      </w:r>
      <w:r>
        <w:rPr>
          <w:spacing w:val="-11"/>
        </w:rPr>
        <w:t xml:space="preserve"> </w:t>
      </w:r>
      <w:r>
        <w:t>la base du taux maximal</w:t>
      </w:r>
      <w:r>
        <w:rPr>
          <w:spacing w:val="-17"/>
        </w:rPr>
        <w:t xml:space="preserve"> </w:t>
      </w:r>
      <w:r>
        <w:t>qui y</w:t>
      </w:r>
      <w:r>
        <w:rPr>
          <w:spacing w:val="-2"/>
        </w:rPr>
        <w:t xml:space="preserve"> </w:t>
      </w:r>
      <w:r>
        <w:t>est fixé.</w:t>
      </w:r>
    </w:p>
    <w:p w14:paraId="36B9B873" w14:textId="77777777" w:rsidR="00E32F98" w:rsidRDefault="00E32F98">
      <w:pPr>
        <w:pStyle w:val="Corpsdetexte"/>
        <w:rPr>
          <w:sz w:val="20"/>
        </w:rPr>
      </w:pPr>
    </w:p>
    <w:p w14:paraId="0DE5E3F4" w14:textId="77777777" w:rsidR="00E32F98" w:rsidRDefault="00000000">
      <w:pPr>
        <w:pStyle w:val="Corpsdetexte"/>
        <w:spacing w:before="15"/>
        <w:rPr>
          <w:sz w:val="20"/>
        </w:rPr>
      </w:pPr>
      <w:r>
        <w:rPr>
          <w:noProof/>
          <w:sz w:val="20"/>
        </w:rPr>
        <w:drawing>
          <wp:anchor distT="0" distB="0" distL="0" distR="0" simplePos="0" relativeHeight="487606272" behindDoc="1" locked="0" layoutInCell="1" allowOverlap="1" wp14:anchorId="083E12D6" wp14:editId="50656206">
            <wp:simplePos x="0" y="0"/>
            <wp:positionH relativeFrom="page">
              <wp:posOffset>3470909</wp:posOffset>
            </wp:positionH>
            <wp:positionV relativeFrom="paragraph">
              <wp:posOffset>171051</wp:posOffset>
            </wp:positionV>
            <wp:extent cx="616420" cy="622363"/>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1" cstate="print"/>
                    <a:stretch>
                      <a:fillRect/>
                    </a:stretch>
                  </pic:blipFill>
                  <pic:spPr>
                    <a:xfrm>
                      <a:off x="0" y="0"/>
                      <a:ext cx="616420" cy="622363"/>
                    </a:xfrm>
                    <a:prstGeom prst="rect">
                      <a:avLst/>
                    </a:prstGeom>
                  </pic:spPr>
                </pic:pic>
              </a:graphicData>
            </a:graphic>
          </wp:anchor>
        </w:drawing>
      </w:r>
    </w:p>
    <w:p w14:paraId="4766C8C1" w14:textId="77777777" w:rsidR="00E32F98" w:rsidRDefault="00E32F98">
      <w:pPr>
        <w:pStyle w:val="Corpsdetexte"/>
        <w:spacing w:before="8"/>
      </w:pPr>
    </w:p>
    <w:p w14:paraId="4D306808" w14:textId="77777777" w:rsidR="00E32F98" w:rsidRDefault="00000000">
      <w:pPr>
        <w:pStyle w:val="Titre2"/>
        <w:ind w:left="74" w:right="61" w:firstLine="0"/>
        <w:jc w:val="center"/>
      </w:pPr>
      <w:r>
        <w:t>De</w:t>
      </w:r>
      <w:r>
        <w:rPr>
          <w:spacing w:val="-3"/>
        </w:rPr>
        <w:t xml:space="preserve"> </w:t>
      </w:r>
      <w:r>
        <w:t>la</w:t>
      </w:r>
      <w:r>
        <w:rPr>
          <w:spacing w:val="-3"/>
        </w:rPr>
        <w:t xml:space="preserve"> </w:t>
      </w:r>
      <w:r>
        <w:t xml:space="preserve">division </w:t>
      </w:r>
      <w:r>
        <w:rPr>
          <w:spacing w:val="-2"/>
        </w:rPr>
        <w:t>d’annulation</w:t>
      </w:r>
    </w:p>
    <w:p w14:paraId="5513E587" w14:textId="77777777" w:rsidR="00E32F98" w:rsidRDefault="00E32F98">
      <w:pPr>
        <w:pStyle w:val="Corpsdetexte"/>
        <w:spacing w:before="45"/>
        <w:rPr>
          <w:rFonts w:ascii="Arial"/>
          <w:b/>
          <w:sz w:val="20"/>
        </w:rPr>
      </w:pPr>
    </w:p>
    <w:tbl>
      <w:tblPr>
        <w:tblStyle w:val="TableNormal"/>
        <w:tblW w:w="0" w:type="auto"/>
        <w:tblInd w:w="680" w:type="dxa"/>
        <w:tblLayout w:type="fixed"/>
        <w:tblLook w:val="01E0" w:firstRow="1" w:lastRow="1" w:firstColumn="1" w:lastColumn="1" w:noHBand="0" w:noVBand="0"/>
      </w:tblPr>
      <w:tblGrid>
        <w:gridCol w:w="2449"/>
        <w:gridCol w:w="2849"/>
        <w:gridCol w:w="2969"/>
      </w:tblGrid>
      <w:tr w:rsidR="00E32F98" w14:paraId="118722C4" w14:textId="77777777">
        <w:trPr>
          <w:trHeight w:val="506"/>
        </w:trPr>
        <w:tc>
          <w:tcPr>
            <w:tcW w:w="2449" w:type="dxa"/>
          </w:tcPr>
          <w:p w14:paraId="77595816" w14:textId="77777777" w:rsidR="00E32F98" w:rsidRDefault="00000000">
            <w:pPr>
              <w:pStyle w:val="TableParagraph"/>
              <w:spacing w:before="133"/>
              <w:ind w:left="50"/>
            </w:pPr>
            <w:r>
              <w:t>Angela</w:t>
            </w:r>
            <w:r>
              <w:rPr>
                <w:spacing w:val="11"/>
              </w:rPr>
              <w:t xml:space="preserve"> </w:t>
            </w:r>
            <w:r>
              <w:t>DI</w:t>
            </w:r>
            <w:r>
              <w:rPr>
                <w:spacing w:val="-11"/>
              </w:rPr>
              <w:t xml:space="preserve"> </w:t>
            </w:r>
            <w:r>
              <w:rPr>
                <w:spacing w:val="-2"/>
              </w:rPr>
              <w:t>BLASIO</w:t>
            </w:r>
          </w:p>
        </w:tc>
        <w:tc>
          <w:tcPr>
            <w:tcW w:w="2849" w:type="dxa"/>
          </w:tcPr>
          <w:p w14:paraId="39954159" w14:textId="77777777" w:rsidR="00E32F98" w:rsidRDefault="00000000">
            <w:pPr>
              <w:pStyle w:val="TableParagraph"/>
              <w:spacing w:before="133"/>
              <w:ind w:left="589"/>
            </w:pPr>
            <w:r>
              <w:rPr>
                <w:spacing w:val="-2"/>
              </w:rPr>
              <w:t>Manuela</w:t>
            </w:r>
            <w:r>
              <w:rPr>
                <w:spacing w:val="1"/>
              </w:rPr>
              <w:t xml:space="preserve"> </w:t>
            </w:r>
            <w:r>
              <w:rPr>
                <w:spacing w:val="-2"/>
              </w:rPr>
              <w:t>RUSEVA</w:t>
            </w:r>
          </w:p>
        </w:tc>
        <w:tc>
          <w:tcPr>
            <w:tcW w:w="2969" w:type="dxa"/>
          </w:tcPr>
          <w:p w14:paraId="2DF8C8D4" w14:textId="77777777" w:rsidR="00E32F98" w:rsidRDefault="00000000">
            <w:pPr>
              <w:pStyle w:val="TableParagraph"/>
              <w:spacing w:line="250" w:lineRule="exact"/>
              <w:ind w:left="430"/>
              <w:jc w:val="center"/>
            </w:pPr>
            <w:r>
              <w:rPr>
                <w:spacing w:val="-2"/>
              </w:rPr>
              <w:t>Carmen</w:t>
            </w:r>
          </w:p>
          <w:p w14:paraId="3C3D2A28" w14:textId="77777777" w:rsidR="00E32F98" w:rsidRDefault="00000000">
            <w:pPr>
              <w:pStyle w:val="TableParagraph"/>
              <w:spacing w:before="2" w:line="234" w:lineRule="exact"/>
              <w:ind w:left="430" w:right="22"/>
              <w:jc w:val="center"/>
            </w:pPr>
            <w:r>
              <w:t>SÁNCHEZ</w:t>
            </w:r>
            <w:r>
              <w:rPr>
                <w:spacing w:val="-8"/>
              </w:rPr>
              <w:t xml:space="preserve"> </w:t>
            </w:r>
            <w:r>
              <w:rPr>
                <w:spacing w:val="-2"/>
              </w:rPr>
              <w:t>PALOMARES</w:t>
            </w:r>
          </w:p>
        </w:tc>
      </w:tr>
    </w:tbl>
    <w:p w14:paraId="084D71B4" w14:textId="77777777" w:rsidR="00E32F98" w:rsidRDefault="00E32F98">
      <w:pPr>
        <w:pStyle w:val="Corpsdetexte"/>
        <w:rPr>
          <w:rFonts w:ascii="Arial"/>
          <w:b/>
        </w:rPr>
      </w:pPr>
    </w:p>
    <w:p w14:paraId="1E0FB838" w14:textId="77777777" w:rsidR="00E32F98" w:rsidRDefault="00E32F98">
      <w:pPr>
        <w:pStyle w:val="Corpsdetexte"/>
        <w:spacing w:before="36"/>
        <w:rPr>
          <w:rFonts w:ascii="Arial"/>
          <w:b/>
        </w:rPr>
      </w:pPr>
    </w:p>
    <w:p w14:paraId="5C1B0E2A" w14:textId="77777777" w:rsidR="00E32F98" w:rsidRDefault="00000000">
      <w:pPr>
        <w:pStyle w:val="Corpsdetexte"/>
        <w:ind w:left="166" w:right="145"/>
        <w:jc w:val="both"/>
      </w:pPr>
      <w:r>
        <w:t>Conformément à l’article</w:t>
      </w:r>
      <w:r>
        <w:rPr>
          <w:spacing w:val="-4"/>
        </w:rPr>
        <w:t xml:space="preserve"> </w:t>
      </w:r>
      <w:r>
        <w:t>67 du RMUE, toute partie peut recourir contre cette décision pour autant que cette dernière n’ait pas fait</w:t>
      </w:r>
      <w:r>
        <w:rPr>
          <w:spacing w:val="-7"/>
        </w:rPr>
        <w:t xml:space="preserve"> </w:t>
      </w:r>
      <w:r>
        <w:t>droit</w:t>
      </w:r>
      <w:r>
        <w:rPr>
          <w:spacing w:val="-7"/>
        </w:rPr>
        <w:t xml:space="preserve"> </w:t>
      </w:r>
      <w:r>
        <w:t>à</w:t>
      </w:r>
      <w:r>
        <w:rPr>
          <w:spacing w:val="-10"/>
        </w:rPr>
        <w:t xml:space="preserve"> </w:t>
      </w:r>
      <w:r>
        <w:t>ses prétentions.</w:t>
      </w:r>
      <w:r>
        <w:rPr>
          <w:spacing w:val="-7"/>
        </w:rPr>
        <w:t xml:space="preserve"> </w:t>
      </w:r>
      <w:r>
        <w:t>Conformément</w:t>
      </w:r>
      <w:r>
        <w:rPr>
          <w:spacing w:val="-7"/>
        </w:rPr>
        <w:t xml:space="preserve"> </w:t>
      </w:r>
      <w:r>
        <w:t>à</w:t>
      </w:r>
      <w:r>
        <w:rPr>
          <w:spacing w:val="-10"/>
        </w:rPr>
        <w:t xml:space="preserve"> </w:t>
      </w:r>
      <w:r>
        <w:t>l’article</w:t>
      </w:r>
      <w:r>
        <w:rPr>
          <w:spacing w:val="-4"/>
        </w:rPr>
        <w:t xml:space="preserve"> </w:t>
      </w:r>
      <w:r>
        <w:t>68</w:t>
      </w:r>
      <w:r>
        <w:rPr>
          <w:spacing w:val="-10"/>
        </w:rPr>
        <w:t xml:space="preserve"> </w:t>
      </w:r>
      <w:r>
        <w:t>du RMUE, le recours doit être formé par écrit auprès de l’Office dans un délai de deux mois à compter du jour de la notification</w:t>
      </w:r>
      <w:r>
        <w:rPr>
          <w:spacing w:val="-6"/>
        </w:rPr>
        <w:t xml:space="preserve"> </w:t>
      </w:r>
      <w:r>
        <w:t>de</w:t>
      </w:r>
      <w:r>
        <w:rPr>
          <w:spacing w:val="-6"/>
        </w:rPr>
        <w:t xml:space="preserve"> </w:t>
      </w:r>
      <w:r>
        <w:t>la</w:t>
      </w:r>
      <w:r>
        <w:rPr>
          <w:spacing w:val="-6"/>
        </w:rPr>
        <w:t xml:space="preserve"> </w:t>
      </w:r>
      <w:r>
        <w:t>présente</w:t>
      </w:r>
      <w:r>
        <w:rPr>
          <w:spacing w:val="-6"/>
        </w:rPr>
        <w:t xml:space="preserve"> </w:t>
      </w:r>
      <w:r>
        <w:t>décision.</w:t>
      </w:r>
      <w:r>
        <w:rPr>
          <w:spacing w:val="-3"/>
        </w:rPr>
        <w:t xml:space="preserve"> </w:t>
      </w:r>
      <w:r>
        <w:t>L’acte</w:t>
      </w:r>
      <w:r>
        <w:rPr>
          <w:spacing w:val="-6"/>
        </w:rPr>
        <w:t xml:space="preserve"> </w:t>
      </w:r>
      <w:r>
        <w:t>de</w:t>
      </w:r>
      <w:r>
        <w:rPr>
          <w:spacing w:val="-6"/>
        </w:rPr>
        <w:t xml:space="preserve"> </w:t>
      </w:r>
      <w:r>
        <w:t>recours est</w:t>
      </w:r>
      <w:r>
        <w:rPr>
          <w:spacing w:val="-3"/>
        </w:rPr>
        <w:t xml:space="preserve"> </w:t>
      </w:r>
      <w:r>
        <w:t>déposé</w:t>
      </w:r>
      <w:r>
        <w:rPr>
          <w:spacing w:val="-6"/>
        </w:rPr>
        <w:t xml:space="preserve"> </w:t>
      </w:r>
      <w:r>
        <w:t>dans la langue de procédure de la décision attaquée.</w:t>
      </w:r>
      <w:r>
        <w:rPr>
          <w:spacing w:val="25"/>
        </w:rPr>
        <w:t xml:space="preserve"> </w:t>
      </w:r>
      <w:r>
        <w:t>En outre, un mémoire exposant les motifs</w:t>
      </w:r>
      <w:r>
        <w:rPr>
          <w:spacing w:val="40"/>
        </w:rPr>
        <w:t xml:space="preserve"> </w:t>
      </w:r>
      <w:r>
        <w:t>du recours doit être déposé par écrit dans un délai de quatre mois à compter</w:t>
      </w:r>
      <w:r>
        <w:rPr>
          <w:spacing w:val="-2"/>
        </w:rPr>
        <w:t xml:space="preserve"> </w:t>
      </w:r>
      <w:r>
        <w:t>de</w:t>
      </w:r>
      <w:r>
        <w:rPr>
          <w:spacing w:val="-7"/>
        </w:rPr>
        <w:t xml:space="preserve"> </w:t>
      </w:r>
      <w:r>
        <w:t>cette</w:t>
      </w:r>
      <w:r>
        <w:rPr>
          <w:spacing w:val="-7"/>
        </w:rPr>
        <w:t xml:space="preserve"> </w:t>
      </w:r>
      <w:r>
        <w:t>date. Le recours n’est considéré comme formé qu’après paiement de la taxe de recours d’un montant de 720 EUR.</w:t>
      </w:r>
    </w:p>
    <w:sectPr w:rsidR="00E32F98">
      <w:pgSz w:w="11910" w:h="16850"/>
      <w:pgMar w:top="1000" w:right="1275" w:bottom="280" w:left="1275" w:header="72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D12A5B" w14:textId="77777777" w:rsidR="00186B0D" w:rsidRDefault="00186B0D">
      <w:r>
        <w:separator/>
      </w:r>
    </w:p>
  </w:endnote>
  <w:endnote w:type="continuationSeparator" w:id="0">
    <w:p w14:paraId="65DACFA1" w14:textId="77777777" w:rsidR="00186B0D" w:rsidRDefault="00186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1"/>
    <w:family w:val="swiss"/>
    <w:pitch w:val="variable"/>
    <w:sig w:usb0="E0002AFF" w:usb1="C0007843"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Arial MT">
    <w:altName w:val="Arial"/>
    <w:panose1 w:val="020B0604020202020204"/>
    <w:charset w:val="01"/>
    <w:family w:val="swiss"/>
    <w:pitch w:val="variable"/>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3FAC06" w14:textId="77777777" w:rsidR="00186B0D" w:rsidRDefault="00186B0D">
      <w:r>
        <w:separator/>
      </w:r>
    </w:p>
  </w:footnote>
  <w:footnote w:type="continuationSeparator" w:id="0">
    <w:p w14:paraId="53AF49B8" w14:textId="77777777" w:rsidR="00186B0D" w:rsidRDefault="00186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B355A" w14:textId="77777777" w:rsidR="00E32F98" w:rsidRDefault="00000000">
    <w:pPr>
      <w:pStyle w:val="Corpsdetexte"/>
      <w:spacing w:line="14" w:lineRule="auto"/>
      <w:rPr>
        <w:sz w:val="20"/>
      </w:rPr>
    </w:pPr>
    <w:r>
      <w:rPr>
        <w:noProof/>
        <w:sz w:val="20"/>
      </w:rPr>
      <mc:AlternateContent>
        <mc:Choice Requires="wps">
          <w:drawing>
            <wp:anchor distT="0" distB="0" distL="0" distR="0" simplePos="0" relativeHeight="487177728" behindDoc="1" locked="0" layoutInCell="1" allowOverlap="1" wp14:anchorId="2650C16D" wp14:editId="031937E9">
              <wp:simplePos x="0" y="0"/>
              <wp:positionH relativeFrom="page">
                <wp:posOffset>896619</wp:posOffset>
              </wp:positionH>
              <wp:positionV relativeFrom="page">
                <wp:posOffset>629284</wp:posOffset>
              </wp:positionV>
              <wp:extent cx="5779135" cy="952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135" cy="9525"/>
                      </a:xfrm>
                      <a:custGeom>
                        <a:avLst/>
                        <a:gdLst/>
                        <a:ahLst/>
                        <a:cxnLst/>
                        <a:rect l="l" t="t" r="r" b="b"/>
                        <a:pathLst>
                          <a:path w="5779135" h="9525">
                            <a:moveTo>
                              <a:pt x="5779134" y="0"/>
                            </a:moveTo>
                            <a:lnTo>
                              <a:pt x="0" y="0"/>
                            </a:lnTo>
                            <a:lnTo>
                              <a:pt x="0" y="9525"/>
                            </a:lnTo>
                            <a:lnTo>
                              <a:pt x="5779134" y="9525"/>
                            </a:lnTo>
                            <a:lnTo>
                              <a:pt x="5779134"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0.599998pt;margin-top:49.549999pt;width:455.05pt;height:.75pt;mso-position-horizontal-relative:page;mso-position-vertical-relative:page;z-index:-16138752" id="docshape3" filled="true" fillcolor="#585858" stroked="false">
              <v:fill type="solid"/>
              <w10:wrap type="none"/>
            </v:rect>
          </w:pict>
        </mc:Fallback>
      </mc:AlternateContent>
    </w:r>
    <w:r>
      <w:rPr>
        <w:noProof/>
        <w:sz w:val="20"/>
      </w:rPr>
      <mc:AlternateContent>
        <mc:Choice Requires="wps">
          <w:drawing>
            <wp:anchor distT="0" distB="0" distL="0" distR="0" simplePos="0" relativeHeight="487178240" behindDoc="1" locked="0" layoutInCell="1" allowOverlap="1" wp14:anchorId="798299CB" wp14:editId="2252EAC6">
              <wp:simplePos x="0" y="0"/>
              <wp:positionH relativeFrom="page">
                <wp:posOffset>902969</wp:posOffset>
              </wp:positionH>
              <wp:positionV relativeFrom="page">
                <wp:posOffset>449144</wp:posOffset>
              </wp:positionV>
              <wp:extent cx="3156585" cy="18542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6585" cy="185420"/>
                      </a:xfrm>
                      <a:prstGeom prst="rect">
                        <a:avLst/>
                      </a:prstGeom>
                    </wps:spPr>
                    <wps:txbx>
                      <w:txbxContent>
                        <w:p w14:paraId="3395723D" w14:textId="77777777" w:rsidR="00E32F98" w:rsidRDefault="00000000">
                          <w:pPr>
                            <w:pStyle w:val="Corpsdetexte"/>
                            <w:spacing w:before="17"/>
                            <w:ind w:left="20"/>
                          </w:pPr>
                          <w:r>
                            <w:t>Décision</w:t>
                          </w:r>
                          <w:r>
                            <w:rPr>
                              <w:spacing w:val="-9"/>
                            </w:rPr>
                            <w:t xml:space="preserve"> </w:t>
                          </w:r>
                          <w:r>
                            <w:t>sur</w:t>
                          </w:r>
                          <w:r>
                            <w:rPr>
                              <w:spacing w:val="-3"/>
                            </w:rPr>
                            <w:t xml:space="preserve"> </w:t>
                          </w:r>
                          <w:r>
                            <w:t>la</w:t>
                          </w:r>
                          <w:r>
                            <w:rPr>
                              <w:spacing w:val="-8"/>
                            </w:rPr>
                            <w:t xml:space="preserve"> </w:t>
                          </w:r>
                          <w:r>
                            <w:t>demande</w:t>
                          </w:r>
                          <w:r>
                            <w:rPr>
                              <w:spacing w:val="-8"/>
                            </w:rPr>
                            <w:t xml:space="preserve"> </w:t>
                          </w:r>
                          <w:r>
                            <w:t>d’annulation</w:t>
                          </w:r>
                          <w:r>
                            <w:rPr>
                              <w:spacing w:val="-8"/>
                            </w:rPr>
                            <w:t xml:space="preserve"> </w:t>
                          </w:r>
                          <w:r>
                            <w:t>no</w:t>
                          </w:r>
                          <w:r>
                            <w:rPr>
                              <w:spacing w:val="-8"/>
                            </w:rPr>
                            <w:t xml:space="preserve"> </w:t>
                          </w:r>
                          <w:r>
                            <w:t>C</w:t>
                          </w:r>
                          <w:r>
                            <w:rPr>
                              <w:spacing w:val="-1"/>
                            </w:rPr>
                            <w:t xml:space="preserve"> </w:t>
                          </w:r>
                          <w:r>
                            <w:t xml:space="preserve">59 </w:t>
                          </w:r>
                          <w:r>
                            <w:rPr>
                              <w:spacing w:val="-5"/>
                            </w:rPr>
                            <w:t>427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099998pt;margin-top:35.365673pt;width:248.55pt;height:14.6pt;mso-position-horizontal-relative:page;mso-position-vertical-relative:page;z-index:-16138240" type="#_x0000_t202" id="docshape4" filled="false" stroked="false">
              <v:textbox inset="0,0,0,0">
                <w:txbxContent>
                  <w:p>
                    <w:pPr>
                      <w:pStyle w:val="BodyText"/>
                      <w:spacing w:before="17"/>
                      <w:ind w:left="20"/>
                    </w:pPr>
                    <w:r>
                      <w:rPr/>
                      <w:t>Décision</w:t>
                    </w:r>
                    <w:r>
                      <w:rPr>
                        <w:spacing w:val="-9"/>
                      </w:rPr>
                      <w:t> </w:t>
                    </w:r>
                    <w:r>
                      <w:rPr/>
                      <w:t>sur</w:t>
                    </w:r>
                    <w:r>
                      <w:rPr>
                        <w:spacing w:val="-3"/>
                      </w:rPr>
                      <w:t> </w:t>
                    </w:r>
                    <w:r>
                      <w:rPr/>
                      <w:t>la</w:t>
                    </w:r>
                    <w:r>
                      <w:rPr>
                        <w:spacing w:val="-8"/>
                      </w:rPr>
                      <w:t> </w:t>
                    </w:r>
                    <w:r>
                      <w:rPr/>
                      <w:t>demande</w:t>
                    </w:r>
                    <w:r>
                      <w:rPr>
                        <w:spacing w:val="-8"/>
                      </w:rPr>
                      <w:t> </w:t>
                    </w:r>
                    <w:r>
                      <w:rPr/>
                      <w:t>d’annulation</w:t>
                    </w:r>
                    <w:r>
                      <w:rPr>
                        <w:spacing w:val="-8"/>
                      </w:rPr>
                      <w:t> </w:t>
                    </w:r>
                    <w:r>
                      <w:rPr/>
                      <w:t>no</w:t>
                    </w:r>
                    <w:r>
                      <w:rPr>
                        <w:spacing w:val="-8"/>
                      </w:rPr>
                      <w:t> </w:t>
                    </w:r>
                    <w:r>
                      <w:rPr/>
                      <w:t>C</w:t>
                    </w:r>
                    <w:r>
                      <w:rPr>
                        <w:spacing w:val="-1"/>
                      </w:rPr>
                      <w:t> </w:t>
                    </w:r>
                    <w:r>
                      <w:rPr/>
                      <w:t>59 </w:t>
                    </w:r>
                    <w:r>
                      <w:rPr>
                        <w:spacing w:val="-5"/>
                      </w:rPr>
                      <w:t>427</w:t>
                    </w:r>
                  </w:p>
                </w:txbxContent>
              </v:textbox>
              <w10:wrap type="none"/>
            </v:shape>
          </w:pict>
        </mc:Fallback>
      </mc:AlternateContent>
    </w:r>
    <w:r>
      <w:rPr>
        <w:noProof/>
        <w:sz w:val="20"/>
      </w:rPr>
      <mc:AlternateContent>
        <mc:Choice Requires="wps">
          <w:drawing>
            <wp:anchor distT="0" distB="0" distL="0" distR="0" simplePos="0" relativeHeight="487178752" behindDoc="1" locked="0" layoutInCell="1" allowOverlap="1" wp14:anchorId="6205793B" wp14:editId="0708BB55">
              <wp:simplePos x="0" y="0"/>
              <wp:positionH relativeFrom="page">
                <wp:posOffset>5757290</wp:posOffset>
              </wp:positionH>
              <wp:positionV relativeFrom="page">
                <wp:posOffset>449144</wp:posOffset>
              </wp:positionV>
              <wp:extent cx="892810" cy="18542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185420"/>
                      </a:xfrm>
                      <a:prstGeom prst="rect">
                        <a:avLst/>
                      </a:prstGeom>
                    </wps:spPr>
                    <wps:txbx>
                      <w:txbxContent>
                        <w:p w14:paraId="1A32EEAF" w14:textId="77777777" w:rsidR="00E32F98" w:rsidRDefault="00000000">
                          <w:pPr>
                            <w:pStyle w:val="Corpsdetexte"/>
                            <w:spacing w:before="17"/>
                            <w:ind w:left="20"/>
                          </w:pPr>
                          <w:r>
                            <w:t>Page</w:t>
                          </w:r>
                          <w:r>
                            <w:rPr>
                              <w:spacing w:val="-5"/>
                            </w:rPr>
                            <w:t xml:space="preserve"> </w:t>
                          </w:r>
                          <w:r>
                            <w:t>sur</w:t>
                          </w:r>
                          <w:r>
                            <w:rPr>
                              <w:spacing w:val="2"/>
                            </w:rPr>
                            <w:t xml:space="preserve"> </w:t>
                          </w:r>
                          <w:r>
                            <w:t>2</w:t>
                          </w:r>
                          <w:r>
                            <w:rPr>
                              <w:spacing w:val="-5"/>
                            </w:rPr>
                            <w:t xml:space="preserve"> 23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329987pt;margin-top:35.365673pt;width:70.3pt;height:14.6pt;mso-position-horizontal-relative:page;mso-position-vertical-relative:page;z-index:-16137728" type="#_x0000_t202" id="docshape5" filled="false" stroked="false">
              <v:textbox inset="0,0,0,0">
                <w:txbxContent>
                  <w:p>
                    <w:pPr>
                      <w:pStyle w:val="BodyText"/>
                      <w:spacing w:before="17"/>
                      <w:ind w:left="20"/>
                    </w:pPr>
                    <w:r>
                      <w:rPr/>
                      <w:t>Page</w:t>
                    </w:r>
                    <w:r>
                      <w:rPr>
                        <w:spacing w:val="-5"/>
                      </w:rPr>
                      <w:t> </w:t>
                    </w:r>
                    <w:r>
                      <w:rPr/>
                      <w:t>sur</w:t>
                    </w:r>
                    <w:r>
                      <w:rPr>
                        <w:spacing w:val="2"/>
                      </w:rPr>
                      <w:t> </w:t>
                    </w:r>
                    <w:r>
                      <w:rPr/>
                      <w:t>2</w:t>
                    </w:r>
                    <w:r>
                      <w:rPr>
                        <w:spacing w:val="-5"/>
                      </w:rPr>
                      <w:t> 23</w:t>
                    </w:r>
                  </w:p>
                </w:txbxContent>
              </v:textbox>
              <w10:wrap type="non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E04A1" w14:textId="77777777" w:rsidR="00E32F98" w:rsidRDefault="00000000">
    <w:pPr>
      <w:pStyle w:val="Corpsdetexte"/>
      <w:spacing w:line="14" w:lineRule="auto"/>
      <w:rPr>
        <w:sz w:val="20"/>
      </w:rPr>
    </w:pPr>
    <w:r>
      <w:rPr>
        <w:noProof/>
        <w:sz w:val="20"/>
      </w:rPr>
      <mc:AlternateContent>
        <mc:Choice Requires="wps">
          <w:drawing>
            <wp:anchor distT="0" distB="0" distL="0" distR="0" simplePos="0" relativeHeight="487179264" behindDoc="1" locked="0" layoutInCell="1" allowOverlap="1" wp14:anchorId="750758C2" wp14:editId="35E5031D">
              <wp:simplePos x="0" y="0"/>
              <wp:positionH relativeFrom="page">
                <wp:posOffset>896619</wp:posOffset>
              </wp:positionH>
              <wp:positionV relativeFrom="page">
                <wp:posOffset>629284</wp:posOffset>
              </wp:positionV>
              <wp:extent cx="5779135" cy="952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135" cy="9525"/>
                      </a:xfrm>
                      <a:custGeom>
                        <a:avLst/>
                        <a:gdLst/>
                        <a:ahLst/>
                        <a:cxnLst/>
                        <a:rect l="l" t="t" r="r" b="b"/>
                        <a:pathLst>
                          <a:path w="5779135" h="9525">
                            <a:moveTo>
                              <a:pt x="5779134" y="0"/>
                            </a:moveTo>
                            <a:lnTo>
                              <a:pt x="0" y="0"/>
                            </a:lnTo>
                            <a:lnTo>
                              <a:pt x="0" y="9525"/>
                            </a:lnTo>
                            <a:lnTo>
                              <a:pt x="5779134" y="9525"/>
                            </a:lnTo>
                            <a:lnTo>
                              <a:pt x="5779134"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0.599998pt;margin-top:49.549999pt;width:455.05pt;height:.75pt;mso-position-horizontal-relative:page;mso-position-vertical-relative:page;z-index:-16137216" id="docshape7" filled="true" fillcolor="#585858" stroked="false">
              <v:fill type="solid"/>
              <w10:wrap type="none"/>
            </v:rect>
          </w:pict>
        </mc:Fallback>
      </mc:AlternateContent>
    </w:r>
    <w:r>
      <w:rPr>
        <w:noProof/>
        <w:sz w:val="20"/>
      </w:rPr>
      <mc:AlternateContent>
        <mc:Choice Requires="wps">
          <w:drawing>
            <wp:anchor distT="0" distB="0" distL="0" distR="0" simplePos="0" relativeHeight="487179776" behindDoc="1" locked="0" layoutInCell="1" allowOverlap="1" wp14:anchorId="2DB53419" wp14:editId="1B9C5E47">
              <wp:simplePos x="0" y="0"/>
              <wp:positionH relativeFrom="page">
                <wp:posOffset>902969</wp:posOffset>
              </wp:positionH>
              <wp:positionV relativeFrom="page">
                <wp:posOffset>449144</wp:posOffset>
              </wp:positionV>
              <wp:extent cx="3156585" cy="18542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6585" cy="185420"/>
                      </a:xfrm>
                      <a:prstGeom prst="rect">
                        <a:avLst/>
                      </a:prstGeom>
                    </wps:spPr>
                    <wps:txbx>
                      <w:txbxContent>
                        <w:p w14:paraId="7C41E4D5" w14:textId="77777777" w:rsidR="00E32F98" w:rsidRDefault="00000000">
                          <w:pPr>
                            <w:pStyle w:val="Corpsdetexte"/>
                            <w:spacing w:before="17"/>
                            <w:ind w:left="20"/>
                          </w:pPr>
                          <w:r>
                            <w:t>Décision</w:t>
                          </w:r>
                          <w:r>
                            <w:rPr>
                              <w:spacing w:val="-9"/>
                            </w:rPr>
                            <w:t xml:space="preserve"> </w:t>
                          </w:r>
                          <w:r>
                            <w:t>sur</w:t>
                          </w:r>
                          <w:r>
                            <w:rPr>
                              <w:spacing w:val="-3"/>
                            </w:rPr>
                            <w:t xml:space="preserve"> </w:t>
                          </w:r>
                          <w:r>
                            <w:t>la</w:t>
                          </w:r>
                          <w:r>
                            <w:rPr>
                              <w:spacing w:val="-8"/>
                            </w:rPr>
                            <w:t xml:space="preserve"> </w:t>
                          </w:r>
                          <w:r>
                            <w:t>demande</w:t>
                          </w:r>
                          <w:r>
                            <w:rPr>
                              <w:spacing w:val="-8"/>
                            </w:rPr>
                            <w:t xml:space="preserve"> </w:t>
                          </w:r>
                          <w:r>
                            <w:t>d’annulation</w:t>
                          </w:r>
                          <w:r>
                            <w:rPr>
                              <w:spacing w:val="-8"/>
                            </w:rPr>
                            <w:t xml:space="preserve"> </w:t>
                          </w:r>
                          <w:r>
                            <w:t>no</w:t>
                          </w:r>
                          <w:r>
                            <w:rPr>
                              <w:spacing w:val="-8"/>
                            </w:rPr>
                            <w:t xml:space="preserve"> </w:t>
                          </w:r>
                          <w:r>
                            <w:t>C</w:t>
                          </w:r>
                          <w:r>
                            <w:rPr>
                              <w:spacing w:val="-1"/>
                            </w:rPr>
                            <w:t xml:space="preserve"> </w:t>
                          </w:r>
                          <w:r>
                            <w:t xml:space="preserve">59 </w:t>
                          </w:r>
                          <w:r>
                            <w:rPr>
                              <w:spacing w:val="-5"/>
                            </w:rPr>
                            <w:t>427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099998pt;margin-top:35.365673pt;width:248.55pt;height:14.6pt;mso-position-horizontal-relative:page;mso-position-vertical-relative:page;z-index:-16136704" type="#_x0000_t202" id="docshape8" filled="false" stroked="false">
              <v:textbox inset="0,0,0,0">
                <w:txbxContent>
                  <w:p>
                    <w:pPr>
                      <w:pStyle w:val="BodyText"/>
                      <w:spacing w:before="17"/>
                      <w:ind w:left="20"/>
                    </w:pPr>
                    <w:r>
                      <w:rPr/>
                      <w:t>Décision</w:t>
                    </w:r>
                    <w:r>
                      <w:rPr>
                        <w:spacing w:val="-9"/>
                      </w:rPr>
                      <w:t> </w:t>
                    </w:r>
                    <w:r>
                      <w:rPr/>
                      <w:t>sur</w:t>
                    </w:r>
                    <w:r>
                      <w:rPr>
                        <w:spacing w:val="-3"/>
                      </w:rPr>
                      <w:t> </w:t>
                    </w:r>
                    <w:r>
                      <w:rPr/>
                      <w:t>la</w:t>
                    </w:r>
                    <w:r>
                      <w:rPr>
                        <w:spacing w:val="-8"/>
                      </w:rPr>
                      <w:t> </w:t>
                    </w:r>
                    <w:r>
                      <w:rPr/>
                      <w:t>demande</w:t>
                    </w:r>
                    <w:r>
                      <w:rPr>
                        <w:spacing w:val="-8"/>
                      </w:rPr>
                      <w:t> </w:t>
                    </w:r>
                    <w:r>
                      <w:rPr/>
                      <w:t>d’annulation</w:t>
                    </w:r>
                    <w:r>
                      <w:rPr>
                        <w:spacing w:val="-8"/>
                      </w:rPr>
                      <w:t> </w:t>
                    </w:r>
                    <w:r>
                      <w:rPr/>
                      <w:t>no</w:t>
                    </w:r>
                    <w:r>
                      <w:rPr>
                        <w:spacing w:val="-8"/>
                      </w:rPr>
                      <w:t> </w:t>
                    </w:r>
                    <w:r>
                      <w:rPr/>
                      <w:t>C</w:t>
                    </w:r>
                    <w:r>
                      <w:rPr>
                        <w:spacing w:val="-1"/>
                      </w:rPr>
                      <w:t> </w:t>
                    </w:r>
                    <w:r>
                      <w:rPr/>
                      <w:t>59 </w:t>
                    </w:r>
                    <w:r>
                      <w:rPr>
                        <w:spacing w:val="-5"/>
                      </w:rPr>
                      <w:t>427</w:t>
                    </w:r>
                  </w:p>
                </w:txbxContent>
              </v:textbox>
              <w10:wrap type="none"/>
            </v:shape>
          </w:pict>
        </mc:Fallback>
      </mc:AlternateContent>
    </w:r>
    <w:r>
      <w:rPr>
        <w:noProof/>
        <w:sz w:val="20"/>
      </w:rPr>
      <mc:AlternateContent>
        <mc:Choice Requires="wps">
          <w:drawing>
            <wp:anchor distT="0" distB="0" distL="0" distR="0" simplePos="0" relativeHeight="487180288" behindDoc="1" locked="0" layoutInCell="1" allowOverlap="1" wp14:anchorId="58D9904D" wp14:editId="2D81B0E4">
              <wp:simplePos x="0" y="0"/>
              <wp:positionH relativeFrom="page">
                <wp:posOffset>5757290</wp:posOffset>
              </wp:positionH>
              <wp:positionV relativeFrom="page">
                <wp:posOffset>449144</wp:posOffset>
              </wp:positionV>
              <wp:extent cx="892810" cy="18542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185420"/>
                      </a:xfrm>
                      <a:prstGeom prst="rect">
                        <a:avLst/>
                      </a:prstGeom>
                    </wps:spPr>
                    <wps:txbx>
                      <w:txbxContent>
                        <w:p w14:paraId="756C740D" w14:textId="77777777" w:rsidR="00E32F98" w:rsidRDefault="00000000">
                          <w:pPr>
                            <w:pStyle w:val="Corpsdetexte"/>
                            <w:spacing w:before="17"/>
                            <w:ind w:left="20"/>
                          </w:pPr>
                          <w:r>
                            <w:t>Page</w:t>
                          </w:r>
                          <w:r>
                            <w:rPr>
                              <w:spacing w:val="-5"/>
                            </w:rPr>
                            <w:t xml:space="preserve"> </w:t>
                          </w:r>
                          <w:r>
                            <w:t>sur</w:t>
                          </w:r>
                          <w:r>
                            <w:rPr>
                              <w:spacing w:val="2"/>
                            </w:rPr>
                            <w:t xml:space="preserve"> </w:t>
                          </w:r>
                          <w:r>
                            <w:t>3</w:t>
                          </w:r>
                          <w:r>
                            <w:rPr>
                              <w:spacing w:val="-5"/>
                            </w:rPr>
                            <w:t xml:space="preserve"> 23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329987pt;margin-top:35.365673pt;width:70.3pt;height:14.6pt;mso-position-horizontal-relative:page;mso-position-vertical-relative:page;z-index:-16136192" type="#_x0000_t202" id="docshape9" filled="false" stroked="false">
              <v:textbox inset="0,0,0,0">
                <w:txbxContent>
                  <w:p>
                    <w:pPr>
                      <w:pStyle w:val="BodyText"/>
                      <w:spacing w:before="17"/>
                      <w:ind w:left="20"/>
                    </w:pPr>
                    <w:r>
                      <w:rPr/>
                      <w:t>Page</w:t>
                    </w:r>
                    <w:r>
                      <w:rPr>
                        <w:spacing w:val="-5"/>
                      </w:rPr>
                      <w:t> </w:t>
                    </w:r>
                    <w:r>
                      <w:rPr/>
                      <w:t>sur</w:t>
                    </w:r>
                    <w:r>
                      <w:rPr>
                        <w:spacing w:val="2"/>
                      </w:rPr>
                      <w:t> </w:t>
                    </w:r>
                    <w:r>
                      <w:rPr/>
                      <w:t>3</w:t>
                    </w:r>
                    <w:r>
                      <w:rPr>
                        <w:spacing w:val="-5"/>
                      </w:rPr>
                      <w:t> 23</w:t>
                    </w:r>
                  </w:p>
                </w:txbxContent>
              </v:textbox>
              <w10:wrap type="non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C7C6" w14:textId="77777777" w:rsidR="00E32F98" w:rsidRDefault="00000000">
    <w:pPr>
      <w:pStyle w:val="Corpsdetexte"/>
      <w:spacing w:line="14" w:lineRule="auto"/>
      <w:rPr>
        <w:sz w:val="20"/>
      </w:rPr>
    </w:pPr>
    <w:r>
      <w:rPr>
        <w:noProof/>
        <w:sz w:val="20"/>
      </w:rPr>
      <mc:AlternateContent>
        <mc:Choice Requires="wps">
          <w:drawing>
            <wp:anchor distT="0" distB="0" distL="0" distR="0" simplePos="0" relativeHeight="487180800" behindDoc="1" locked="0" layoutInCell="1" allowOverlap="1" wp14:anchorId="636BE947" wp14:editId="3DE12973">
              <wp:simplePos x="0" y="0"/>
              <wp:positionH relativeFrom="page">
                <wp:posOffset>896619</wp:posOffset>
              </wp:positionH>
              <wp:positionV relativeFrom="page">
                <wp:posOffset>629284</wp:posOffset>
              </wp:positionV>
              <wp:extent cx="5779135" cy="952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135" cy="9525"/>
                      </a:xfrm>
                      <a:custGeom>
                        <a:avLst/>
                        <a:gdLst/>
                        <a:ahLst/>
                        <a:cxnLst/>
                        <a:rect l="l" t="t" r="r" b="b"/>
                        <a:pathLst>
                          <a:path w="5779135" h="9525">
                            <a:moveTo>
                              <a:pt x="5779134" y="0"/>
                            </a:moveTo>
                            <a:lnTo>
                              <a:pt x="0" y="0"/>
                            </a:lnTo>
                            <a:lnTo>
                              <a:pt x="0" y="9525"/>
                            </a:lnTo>
                            <a:lnTo>
                              <a:pt x="5779134" y="9525"/>
                            </a:lnTo>
                            <a:lnTo>
                              <a:pt x="5779134"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0.599998pt;margin-top:49.549999pt;width:455.05pt;height:.75pt;mso-position-horizontal-relative:page;mso-position-vertical-relative:page;z-index:-16135680" id="docshape11" filled="true" fillcolor="#585858" stroked="false">
              <v:fill type="solid"/>
              <w10:wrap type="none"/>
            </v:rect>
          </w:pict>
        </mc:Fallback>
      </mc:AlternateContent>
    </w:r>
    <w:r>
      <w:rPr>
        <w:noProof/>
        <w:sz w:val="20"/>
      </w:rPr>
      <mc:AlternateContent>
        <mc:Choice Requires="wps">
          <w:drawing>
            <wp:anchor distT="0" distB="0" distL="0" distR="0" simplePos="0" relativeHeight="487181312" behindDoc="1" locked="0" layoutInCell="1" allowOverlap="1" wp14:anchorId="020006C2" wp14:editId="560FFC1E">
              <wp:simplePos x="0" y="0"/>
              <wp:positionH relativeFrom="page">
                <wp:posOffset>902969</wp:posOffset>
              </wp:positionH>
              <wp:positionV relativeFrom="page">
                <wp:posOffset>449144</wp:posOffset>
              </wp:positionV>
              <wp:extent cx="3156585" cy="18542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6585" cy="185420"/>
                      </a:xfrm>
                      <a:prstGeom prst="rect">
                        <a:avLst/>
                      </a:prstGeom>
                    </wps:spPr>
                    <wps:txbx>
                      <w:txbxContent>
                        <w:p w14:paraId="73812004" w14:textId="77777777" w:rsidR="00E32F98" w:rsidRDefault="00000000">
                          <w:pPr>
                            <w:pStyle w:val="Corpsdetexte"/>
                            <w:spacing w:before="17"/>
                            <w:ind w:left="20"/>
                          </w:pPr>
                          <w:r>
                            <w:t>Décision</w:t>
                          </w:r>
                          <w:r>
                            <w:rPr>
                              <w:spacing w:val="-9"/>
                            </w:rPr>
                            <w:t xml:space="preserve"> </w:t>
                          </w:r>
                          <w:r>
                            <w:t>sur</w:t>
                          </w:r>
                          <w:r>
                            <w:rPr>
                              <w:spacing w:val="-3"/>
                            </w:rPr>
                            <w:t xml:space="preserve"> </w:t>
                          </w:r>
                          <w:r>
                            <w:t>la</w:t>
                          </w:r>
                          <w:r>
                            <w:rPr>
                              <w:spacing w:val="-8"/>
                            </w:rPr>
                            <w:t xml:space="preserve"> </w:t>
                          </w:r>
                          <w:r>
                            <w:t>demande</w:t>
                          </w:r>
                          <w:r>
                            <w:rPr>
                              <w:spacing w:val="-8"/>
                            </w:rPr>
                            <w:t xml:space="preserve"> </w:t>
                          </w:r>
                          <w:r>
                            <w:t>d’annulation</w:t>
                          </w:r>
                          <w:r>
                            <w:rPr>
                              <w:spacing w:val="-8"/>
                            </w:rPr>
                            <w:t xml:space="preserve"> </w:t>
                          </w:r>
                          <w:r>
                            <w:t>no</w:t>
                          </w:r>
                          <w:r>
                            <w:rPr>
                              <w:spacing w:val="-8"/>
                            </w:rPr>
                            <w:t xml:space="preserve"> </w:t>
                          </w:r>
                          <w:r>
                            <w:t>C</w:t>
                          </w:r>
                          <w:r>
                            <w:rPr>
                              <w:spacing w:val="-1"/>
                            </w:rPr>
                            <w:t xml:space="preserve"> </w:t>
                          </w:r>
                          <w:r>
                            <w:t xml:space="preserve">59 </w:t>
                          </w:r>
                          <w:r>
                            <w:rPr>
                              <w:spacing w:val="-5"/>
                            </w:rPr>
                            <w:t>427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099998pt;margin-top:35.365673pt;width:248.55pt;height:14.6pt;mso-position-horizontal-relative:page;mso-position-vertical-relative:page;z-index:-16135168" type="#_x0000_t202" id="docshape12" filled="false" stroked="false">
              <v:textbox inset="0,0,0,0">
                <w:txbxContent>
                  <w:p>
                    <w:pPr>
                      <w:pStyle w:val="BodyText"/>
                      <w:spacing w:before="17"/>
                      <w:ind w:left="20"/>
                    </w:pPr>
                    <w:r>
                      <w:rPr/>
                      <w:t>Décision</w:t>
                    </w:r>
                    <w:r>
                      <w:rPr>
                        <w:spacing w:val="-9"/>
                      </w:rPr>
                      <w:t> </w:t>
                    </w:r>
                    <w:r>
                      <w:rPr/>
                      <w:t>sur</w:t>
                    </w:r>
                    <w:r>
                      <w:rPr>
                        <w:spacing w:val="-3"/>
                      </w:rPr>
                      <w:t> </w:t>
                    </w:r>
                    <w:r>
                      <w:rPr/>
                      <w:t>la</w:t>
                    </w:r>
                    <w:r>
                      <w:rPr>
                        <w:spacing w:val="-8"/>
                      </w:rPr>
                      <w:t> </w:t>
                    </w:r>
                    <w:r>
                      <w:rPr/>
                      <w:t>demande</w:t>
                    </w:r>
                    <w:r>
                      <w:rPr>
                        <w:spacing w:val="-8"/>
                      </w:rPr>
                      <w:t> </w:t>
                    </w:r>
                    <w:r>
                      <w:rPr/>
                      <w:t>d’annulation</w:t>
                    </w:r>
                    <w:r>
                      <w:rPr>
                        <w:spacing w:val="-8"/>
                      </w:rPr>
                      <w:t> </w:t>
                    </w:r>
                    <w:r>
                      <w:rPr/>
                      <w:t>no</w:t>
                    </w:r>
                    <w:r>
                      <w:rPr>
                        <w:spacing w:val="-8"/>
                      </w:rPr>
                      <w:t> </w:t>
                    </w:r>
                    <w:r>
                      <w:rPr/>
                      <w:t>C</w:t>
                    </w:r>
                    <w:r>
                      <w:rPr>
                        <w:spacing w:val="-1"/>
                      </w:rPr>
                      <w:t> </w:t>
                    </w:r>
                    <w:r>
                      <w:rPr/>
                      <w:t>59 </w:t>
                    </w:r>
                    <w:r>
                      <w:rPr>
                        <w:spacing w:val="-5"/>
                      </w:rPr>
                      <w:t>427</w:t>
                    </w:r>
                  </w:p>
                </w:txbxContent>
              </v:textbox>
              <w10:wrap type="none"/>
            </v:shape>
          </w:pict>
        </mc:Fallback>
      </mc:AlternateContent>
    </w:r>
    <w:r>
      <w:rPr>
        <w:noProof/>
        <w:sz w:val="20"/>
      </w:rPr>
      <mc:AlternateContent>
        <mc:Choice Requires="wps">
          <w:drawing>
            <wp:anchor distT="0" distB="0" distL="0" distR="0" simplePos="0" relativeHeight="487181824" behindDoc="1" locked="0" layoutInCell="1" allowOverlap="1" wp14:anchorId="3E47FB38" wp14:editId="6A7D6889">
              <wp:simplePos x="0" y="0"/>
              <wp:positionH relativeFrom="page">
                <wp:posOffset>5757290</wp:posOffset>
              </wp:positionH>
              <wp:positionV relativeFrom="page">
                <wp:posOffset>449144</wp:posOffset>
              </wp:positionV>
              <wp:extent cx="892810" cy="18542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185420"/>
                      </a:xfrm>
                      <a:prstGeom prst="rect">
                        <a:avLst/>
                      </a:prstGeom>
                    </wps:spPr>
                    <wps:txbx>
                      <w:txbxContent>
                        <w:p w14:paraId="58B4D504" w14:textId="77777777" w:rsidR="00E32F98" w:rsidRDefault="00000000">
                          <w:pPr>
                            <w:pStyle w:val="Corpsdetexte"/>
                            <w:spacing w:before="17"/>
                            <w:ind w:left="20"/>
                          </w:pPr>
                          <w:r>
                            <w:t>Page</w:t>
                          </w:r>
                          <w:r>
                            <w:rPr>
                              <w:spacing w:val="-5"/>
                            </w:rPr>
                            <w:t xml:space="preserve"> </w:t>
                          </w:r>
                          <w:r>
                            <w:t>sur</w:t>
                          </w:r>
                          <w:r>
                            <w:rPr>
                              <w:spacing w:val="2"/>
                            </w:rPr>
                            <w:t xml:space="preserve"> </w:t>
                          </w:r>
                          <w:r>
                            <w:t>4</w:t>
                          </w:r>
                          <w:r>
                            <w:rPr>
                              <w:spacing w:val="-5"/>
                            </w:rPr>
                            <w:t xml:space="preserve"> 23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329987pt;margin-top:35.365673pt;width:70.3pt;height:14.6pt;mso-position-horizontal-relative:page;mso-position-vertical-relative:page;z-index:-16134656" type="#_x0000_t202" id="docshape13" filled="false" stroked="false">
              <v:textbox inset="0,0,0,0">
                <w:txbxContent>
                  <w:p>
                    <w:pPr>
                      <w:pStyle w:val="BodyText"/>
                      <w:spacing w:before="17"/>
                      <w:ind w:left="20"/>
                    </w:pPr>
                    <w:r>
                      <w:rPr/>
                      <w:t>Page</w:t>
                    </w:r>
                    <w:r>
                      <w:rPr>
                        <w:spacing w:val="-5"/>
                      </w:rPr>
                      <w:t> </w:t>
                    </w:r>
                    <w:r>
                      <w:rPr/>
                      <w:t>sur</w:t>
                    </w:r>
                    <w:r>
                      <w:rPr>
                        <w:spacing w:val="2"/>
                      </w:rPr>
                      <w:t> </w:t>
                    </w:r>
                    <w:r>
                      <w:rPr/>
                      <w:t>4</w:t>
                    </w:r>
                    <w:r>
                      <w:rPr>
                        <w:spacing w:val="-5"/>
                      </w:rPr>
                      <w:t> 23</w:t>
                    </w:r>
                  </w:p>
                </w:txbxContent>
              </v:textbox>
              <w10:wrap type="non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2BFDE" w14:textId="77777777" w:rsidR="00E32F98" w:rsidRDefault="00000000">
    <w:pPr>
      <w:pStyle w:val="Corpsdetexte"/>
      <w:spacing w:line="14" w:lineRule="auto"/>
      <w:rPr>
        <w:sz w:val="20"/>
      </w:rPr>
    </w:pPr>
    <w:r>
      <w:rPr>
        <w:noProof/>
        <w:sz w:val="20"/>
      </w:rPr>
      <mc:AlternateContent>
        <mc:Choice Requires="wps">
          <w:drawing>
            <wp:anchor distT="0" distB="0" distL="0" distR="0" simplePos="0" relativeHeight="487182336" behindDoc="1" locked="0" layoutInCell="1" allowOverlap="1" wp14:anchorId="68203DC3" wp14:editId="37EE548E">
              <wp:simplePos x="0" y="0"/>
              <wp:positionH relativeFrom="page">
                <wp:posOffset>896619</wp:posOffset>
              </wp:positionH>
              <wp:positionV relativeFrom="page">
                <wp:posOffset>629284</wp:posOffset>
              </wp:positionV>
              <wp:extent cx="5779135" cy="95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135" cy="9525"/>
                      </a:xfrm>
                      <a:custGeom>
                        <a:avLst/>
                        <a:gdLst/>
                        <a:ahLst/>
                        <a:cxnLst/>
                        <a:rect l="l" t="t" r="r" b="b"/>
                        <a:pathLst>
                          <a:path w="5779135" h="9525">
                            <a:moveTo>
                              <a:pt x="5779134" y="0"/>
                            </a:moveTo>
                            <a:lnTo>
                              <a:pt x="0" y="0"/>
                            </a:lnTo>
                            <a:lnTo>
                              <a:pt x="0" y="9525"/>
                            </a:lnTo>
                            <a:lnTo>
                              <a:pt x="5779134" y="9525"/>
                            </a:lnTo>
                            <a:lnTo>
                              <a:pt x="5779134"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0.599998pt;margin-top:49.549999pt;width:455.05pt;height:.75pt;mso-position-horizontal-relative:page;mso-position-vertical-relative:page;z-index:-16134144" id="docshape15" filled="true" fillcolor="#585858" stroked="false">
              <v:fill type="solid"/>
              <w10:wrap type="none"/>
            </v:rect>
          </w:pict>
        </mc:Fallback>
      </mc:AlternateContent>
    </w:r>
    <w:r>
      <w:rPr>
        <w:noProof/>
        <w:sz w:val="20"/>
      </w:rPr>
      <mc:AlternateContent>
        <mc:Choice Requires="wps">
          <w:drawing>
            <wp:anchor distT="0" distB="0" distL="0" distR="0" simplePos="0" relativeHeight="487182848" behindDoc="1" locked="0" layoutInCell="1" allowOverlap="1" wp14:anchorId="4D2EA8F2" wp14:editId="12143232">
              <wp:simplePos x="0" y="0"/>
              <wp:positionH relativeFrom="page">
                <wp:posOffset>902969</wp:posOffset>
              </wp:positionH>
              <wp:positionV relativeFrom="page">
                <wp:posOffset>449144</wp:posOffset>
              </wp:positionV>
              <wp:extent cx="3156585" cy="18542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6585" cy="185420"/>
                      </a:xfrm>
                      <a:prstGeom prst="rect">
                        <a:avLst/>
                      </a:prstGeom>
                    </wps:spPr>
                    <wps:txbx>
                      <w:txbxContent>
                        <w:p w14:paraId="021D9DD8" w14:textId="77777777" w:rsidR="00E32F98" w:rsidRDefault="00000000">
                          <w:pPr>
                            <w:pStyle w:val="Corpsdetexte"/>
                            <w:spacing w:before="17"/>
                            <w:ind w:left="20"/>
                          </w:pPr>
                          <w:r>
                            <w:t>Décision</w:t>
                          </w:r>
                          <w:r>
                            <w:rPr>
                              <w:spacing w:val="-9"/>
                            </w:rPr>
                            <w:t xml:space="preserve"> </w:t>
                          </w:r>
                          <w:r>
                            <w:t>sur</w:t>
                          </w:r>
                          <w:r>
                            <w:rPr>
                              <w:spacing w:val="-3"/>
                            </w:rPr>
                            <w:t xml:space="preserve"> </w:t>
                          </w:r>
                          <w:r>
                            <w:t>la</w:t>
                          </w:r>
                          <w:r>
                            <w:rPr>
                              <w:spacing w:val="-8"/>
                            </w:rPr>
                            <w:t xml:space="preserve"> </w:t>
                          </w:r>
                          <w:r>
                            <w:t>demande</w:t>
                          </w:r>
                          <w:r>
                            <w:rPr>
                              <w:spacing w:val="-8"/>
                            </w:rPr>
                            <w:t xml:space="preserve"> </w:t>
                          </w:r>
                          <w:r>
                            <w:t>d’annulation</w:t>
                          </w:r>
                          <w:r>
                            <w:rPr>
                              <w:spacing w:val="-8"/>
                            </w:rPr>
                            <w:t xml:space="preserve"> </w:t>
                          </w:r>
                          <w:r>
                            <w:t>no</w:t>
                          </w:r>
                          <w:r>
                            <w:rPr>
                              <w:spacing w:val="-8"/>
                            </w:rPr>
                            <w:t xml:space="preserve"> </w:t>
                          </w:r>
                          <w:r>
                            <w:t>C</w:t>
                          </w:r>
                          <w:r>
                            <w:rPr>
                              <w:spacing w:val="-1"/>
                            </w:rPr>
                            <w:t xml:space="preserve"> </w:t>
                          </w:r>
                          <w:r>
                            <w:t xml:space="preserve">59 </w:t>
                          </w:r>
                          <w:r>
                            <w:rPr>
                              <w:spacing w:val="-5"/>
                            </w:rPr>
                            <w:t>427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099998pt;margin-top:35.365673pt;width:248.55pt;height:14.6pt;mso-position-horizontal-relative:page;mso-position-vertical-relative:page;z-index:-16133632" type="#_x0000_t202" id="docshape16" filled="false" stroked="false">
              <v:textbox inset="0,0,0,0">
                <w:txbxContent>
                  <w:p>
                    <w:pPr>
                      <w:pStyle w:val="BodyText"/>
                      <w:spacing w:before="17"/>
                      <w:ind w:left="20"/>
                    </w:pPr>
                    <w:r>
                      <w:rPr/>
                      <w:t>Décision</w:t>
                    </w:r>
                    <w:r>
                      <w:rPr>
                        <w:spacing w:val="-9"/>
                      </w:rPr>
                      <w:t> </w:t>
                    </w:r>
                    <w:r>
                      <w:rPr/>
                      <w:t>sur</w:t>
                    </w:r>
                    <w:r>
                      <w:rPr>
                        <w:spacing w:val="-3"/>
                      </w:rPr>
                      <w:t> </w:t>
                    </w:r>
                    <w:r>
                      <w:rPr/>
                      <w:t>la</w:t>
                    </w:r>
                    <w:r>
                      <w:rPr>
                        <w:spacing w:val="-8"/>
                      </w:rPr>
                      <w:t> </w:t>
                    </w:r>
                    <w:r>
                      <w:rPr/>
                      <w:t>demande</w:t>
                    </w:r>
                    <w:r>
                      <w:rPr>
                        <w:spacing w:val="-8"/>
                      </w:rPr>
                      <w:t> </w:t>
                    </w:r>
                    <w:r>
                      <w:rPr/>
                      <w:t>d’annulation</w:t>
                    </w:r>
                    <w:r>
                      <w:rPr>
                        <w:spacing w:val="-8"/>
                      </w:rPr>
                      <w:t> </w:t>
                    </w:r>
                    <w:r>
                      <w:rPr/>
                      <w:t>no</w:t>
                    </w:r>
                    <w:r>
                      <w:rPr>
                        <w:spacing w:val="-8"/>
                      </w:rPr>
                      <w:t> </w:t>
                    </w:r>
                    <w:r>
                      <w:rPr/>
                      <w:t>C</w:t>
                    </w:r>
                    <w:r>
                      <w:rPr>
                        <w:spacing w:val="-1"/>
                      </w:rPr>
                      <w:t> </w:t>
                    </w:r>
                    <w:r>
                      <w:rPr/>
                      <w:t>59 </w:t>
                    </w:r>
                    <w:r>
                      <w:rPr>
                        <w:spacing w:val="-5"/>
                      </w:rPr>
                      <w:t>427</w:t>
                    </w:r>
                  </w:p>
                </w:txbxContent>
              </v:textbox>
              <w10:wrap type="none"/>
            </v:shape>
          </w:pict>
        </mc:Fallback>
      </mc:AlternateContent>
    </w:r>
    <w:r>
      <w:rPr>
        <w:noProof/>
        <w:sz w:val="20"/>
      </w:rPr>
      <mc:AlternateContent>
        <mc:Choice Requires="wps">
          <w:drawing>
            <wp:anchor distT="0" distB="0" distL="0" distR="0" simplePos="0" relativeHeight="487183360" behindDoc="1" locked="0" layoutInCell="1" allowOverlap="1" wp14:anchorId="2BD65952" wp14:editId="592D5842">
              <wp:simplePos x="0" y="0"/>
              <wp:positionH relativeFrom="page">
                <wp:posOffset>5757290</wp:posOffset>
              </wp:positionH>
              <wp:positionV relativeFrom="page">
                <wp:posOffset>449144</wp:posOffset>
              </wp:positionV>
              <wp:extent cx="892810" cy="18542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185420"/>
                      </a:xfrm>
                      <a:prstGeom prst="rect">
                        <a:avLst/>
                      </a:prstGeom>
                    </wps:spPr>
                    <wps:txbx>
                      <w:txbxContent>
                        <w:p w14:paraId="51400A1E" w14:textId="77777777" w:rsidR="00E32F98" w:rsidRDefault="00000000">
                          <w:pPr>
                            <w:pStyle w:val="Corpsdetexte"/>
                            <w:spacing w:before="17"/>
                            <w:ind w:left="20"/>
                          </w:pPr>
                          <w:r>
                            <w:t>Page</w:t>
                          </w:r>
                          <w:r>
                            <w:rPr>
                              <w:spacing w:val="-5"/>
                            </w:rPr>
                            <w:t xml:space="preserve"> </w:t>
                          </w:r>
                          <w:r>
                            <w:t>sur</w:t>
                          </w:r>
                          <w:r>
                            <w:rPr>
                              <w:spacing w:val="2"/>
                            </w:rPr>
                            <w:t xml:space="preserve"> </w:t>
                          </w:r>
                          <w:r>
                            <w:t>5</w:t>
                          </w:r>
                          <w:r>
                            <w:rPr>
                              <w:spacing w:val="-5"/>
                            </w:rPr>
                            <w:t xml:space="preserve"> 23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329987pt;margin-top:35.365673pt;width:70.3pt;height:14.6pt;mso-position-horizontal-relative:page;mso-position-vertical-relative:page;z-index:-16133120" type="#_x0000_t202" id="docshape17" filled="false" stroked="false">
              <v:textbox inset="0,0,0,0">
                <w:txbxContent>
                  <w:p>
                    <w:pPr>
                      <w:pStyle w:val="BodyText"/>
                      <w:spacing w:before="17"/>
                      <w:ind w:left="20"/>
                    </w:pPr>
                    <w:r>
                      <w:rPr/>
                      <w:t>Page</w:t>
                    </w:r>
                    <w:r>
                      <w:rPr>
                        <w:spacing w:val="-5"/>
                      </w:rPr>
                      <w:t> </w:t>
                    </w:r>
                    <w:r>
                      <w:rPr/>
                      <w:t>sur</w:t>
                    </w:r>
                    <w:r>
                      <w:rPr>
                        <w:spacing w:val="2"/>
                      </w:rPr>
                      <w:t> </w:t>
                    </w:r>
                    <w:r>
                      <w:rPr/>
                      <w:t>5</w:t>
                    </w:r>
                    <w:r>
                      <w:rPr>
                        <w:spacing w:val="-5"/>
                      </w:rPr>
                      <w:t> 23</w:t>
                    </w:r>
                  </w:p>
                </w:txbxContent>
              </v:textbox>
              <w10:wrap type="non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91301" w14:textId="77777777" w:rsidR="00E32F98" w:rsidRDefault="00000000">
    <w:pPr>
      <w:pStyle w:val="Corpsdetexte"/>
      <w:spacing w:line="14" w:lineRule="auto"/>
      <w:rPr>
        <w:sz w:val="20"/>
      </w:rPr>
    </w:pPr>
    <w:r>
      <w:rPr>
        <w:noProof/>
        <w:sz w:val="20"/>
      </w:rPr>
      <mc:AlternateContent>
        <mc:Choice Requires="wps">
          <w:drawing>
            <wp:anchor distT="0" distB="0" distL="0" distR="0" simplePos="0" relativeHeight="487183872" behindDoc="1" locked="0" layoutInCell="1" allowOverlap="1" wp14:anchorId="3B9FC208" wp14:editId="7AE36F84">
              <wp:simplePos x="0" y="0"/>
              <wp:positionH relativeFrom="page">
                <wp:posOffset>896619</wp:posOffset>
              </wp:positionH>
              <wp:positionV relativeFrom="page">
                <wp:posOffset>629284</wp:posOffset>
              </wp:positionV>
              <wp:extent cx="5779135" cy="952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135" cy="9525"/>
                      </a:xfrm>
                      <a:custGeom>
                        <a:avLst/>
                        <a:gdLst/>
                        <a:ahLst/>
                        <a:cxnLst/>
                        <a:rect l="l" t="t" r="r" b="b"/>
                        <a:pathLst>
                          <a:path w="5779135" h="9525">
                            <a:moveTo>
                              <a:pt x="5779134" y="0"/>
                            </a:moveTo>
                            <a:lnTo>
                              <a:pt x="0" y="0"/>
                            </a:lnTo>
                            <a:lnTo>
                              <a:pt x="0" y="9525"/>
                            </a:lnTo>
                            <a:lnTo>
                              <a:pt x="5779134" y="9525"/>
                            </a:lnTo>
                            <a:lnTo>
                              <a:pt x="5779134"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0.599998pt;margin-top:49.549999pt;width:455.05pt;height:.75pt;mso-position-horizontal-relative:page;mso-position-vertical-relative:page;z-index:-16132608" id="docshape19" filled="true" fillcolor="#585858" stroked="false">
              <v:fill type="solid"/>
              <w10:wrap type="none"/>
            </v:rect>
          </w:pict>
        </mc:Fallback>
      </mc:AlternateContent>
    </w:r>
    <w:r>
      <w:rPr>
        <w:noProof/>
        <w:sz w:val="20"/>
      </w:rPr>
      <mc:AlternateContent>
        <mc:Choice Requires="wps">
          <w:drawing>
            <wp:anchor distT="0" distB="0" distL="0" distR="0" simplePos="0" relativeHeight="487184384" behindDoc="1" locked="0" layoutInCell="1" allowOverlap="1" wp14:anchorId="023A0727" wp14:editId="073121BD">
              <wp:simplePos x="0" y="0"/>
              <wp:positionH relativeFrom="page">
                <wp:posOffset>902969</wp:posOffset>
              </wp:positionH>
              <wp:positionV relativeFrom="page">
                <wp:posOffset>449144</wp:posOffset>
              </wp:positionV>
              <wp:extent cx="3156585" cy="18542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6585" cy="185420"/>
                      </a:xfrm>
                      <a:prstGeom prst="rect">
                        <a:avLst/>
                      </a:prstGeom>
                    </wps:spPr>
                    <wps:txbx>
                      <w:txbxContent>
                        <w:p w14:paraId="0DBCA47D" w14:textId="77777777" w:rsidR="00E32F98" w:rsidRDefault="00000000">
                          <w:pPr>
                            <w:pStyle w:val="Corpsdetexte"/>
                            <w:spacing w:before="17"/>
                            <w:ind w:left="20"/>
                          </w:pPr>
                          <w:r>
                            <w:t>Décision</w:t>
                          </w:r>
                          <w:r>
                            <w:rPr>
                              <w:spacing w:val="-9"/>
                            </w:rPr>
                            <w:t xml:space="preserve"> </w:t>
                          </w:r>
                          <w:r>
                            <w:t>sur</w:t>
                          </w:r>
                          <w:r>
                            <w:rPr>
                              <w:spacing w:val="-3"/>
                            </w:rPr>
                            <w:t xml:space="preserve"> </w:t>
                          </w:r>
                          <w:r>
                            <w:t>la</w:t>
                          </w:r>
                          <w:r>
                            <w:rPr>
                              <w:spacing w:val="-8"/>
                            </w:rPr>
                            <w:t xml:space="preserve"> </w:t>
                          </w:r>
                          <w:r>
                            <w:t>demande</w:t>
                          </w:r>
                          <w:r>
                            <w:rPr>
                              <w:spacing w:val="-8"/>
                            </w:rPr>
                            <w:t xml:space="preserve"> </w:t>
                          </w:r>
                          <w:r>
                            <w:t>d’annulation</w:t>
                          </w:r>
                          <w:r>
                            <w:rPr>
                              <w:spacing w:val="-8"/>
                            </w:rPr>
                            <w:t xml:space="preserve"> </w:t>
                          </w:r>
                          <w:r>
                            <w:t>no</w:t>
                          </w:r>
                          <w:r>
                            <w:rPr>
                              <w:spacing w:val="-8"/>
                            </w:rPr>
                            <w:t xml:space="preserve"> </w:t>
                          </w:r>
                          <w:r>
                            <w:t>C</w:t>
                          </w:r>
                          <w:r>
                            <w:rPr>
                              <w:spacing w:val="-1"/>
                            </w:rPr>
                            <w:t xml:space="preserve"> </w:t>
                          </w:r>
                          <w:r>
                            <w:t xml:space="preserve">59 </w:t>
                          </w:r>
                          <w:r>
                            <w:rPr>
                              <w:spacing w:val="-5"/>
                            </w:rPr>
                            <w:t>427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099998pt;margin-top:35.365673pt;width:248.55pt;height:14.6pt;mso-position-horizontal-relative:page;mso-position-vertical-relative:page;z-index:-16132096" type="#_x0000_t202" id="docshape20" filled="false" stroked="false">
              <v:textbox inset="0,0,0,0">
                <w:txbxContent>
                  <w:p>
                    <w:pPr>
                      <w:pStyle w:val="BodyText"/>
                      <w:spacing w:before="17"/>
                      <w:ind w:left="20"/>
                    </w:pPr>
                    <w:r>
                      <w:rPr/>
                      <w:t>Décision</w:t>
                    </w:r>
                    <w:r>
                      <w:rPr>
                        <w:spacing w:val="-9"/>
                      </w:rPr>
                      <w:t> </w:t>
                    </w:r>
                    <w:r>
                      <w:rPr/>
                      <w:t>sur</w:t>
                    </w:r>
                    <w:r>
                      <w:rPr>
                        <w:spacing w:val="-3"/>
                      </w:rPr>
                      <w:t> </w:t>
                    </w:r>
                    <w:r>
                      <w:rPr/>
                      <w:t>la</w:t>
                    </w:r>
                    <w:r>
                      <w:rPr>
                        <w:spacing w:val="-8"/>
                      </w:rPr>
                      <w:t> </w:t>
                    </w:r>
                    <w:r>
                      <w:rPr/>
                      <w:t>demande</w:t>
                    </w:r>
                    <w:r>
                      <w:rPr>
                        <w:spacing w:val="-8"/>
                      </w:rPr>
                      <w:t> </w:t>
                    </w:r>
                    <w:r>
                      <w:rPr/>
                      <w:t>d’annulation</w:t>
                    </w:r>
                    <w:r>
                      <w:rPr>
                        <w:spacing w:val="-8"/>
                      </w:rPr>
                      <w:t> </w:t>
                    </w:r>
                    <w:r>
                      <w:rPr/>
                      <w:t>no</w:t>
                    </w:r>
                    <w:r>
                      <w:rPr>
                        <w:spacing w:val="-8"/>
                      </w:rPr>
                      <w:t> </w:t>
                    </w:r>
                    <w:r>
                      <w:rPr/>
                      <w:t>C</w:t>
                    </w:r>
                    <w:r>
                      <w:rPr>
                        <w:spacing w:val="-1"/>
                      </w:rPr>
                      <w:t> </w:t>
                    </w:r>
                    <w:r>
                      <w:rPr/>
                      <w:t>59 </w:t>
                    </w:r>
                    <w:r>
                      <w:rPr>
                        <w:spacing w:val="-5"/>
                      </w:rPr>
                      <w:t>427</w:t>
                    </w:r>
                  </w:p>
                </w:txbxContent>
              </v:textbox>
              <w10:wrap type="none"/>
            </v:shape>
          </w:pict>
        </mc:Fallback>
      </mc:AlternateContent>
    </w:r>
    <w:r>
      <w:rPr>
        <w:noProof/>
        <w:sz w:val="20"/>
      </w:rPr>
      <mc:AlternateContent>
        <mc:Choice Requires="wps">
          <w:drawing>
            <wp:anchor distT="0" distB="0" distL="0" distR="0" simplePos="0" relativeHeight="487184896" behindDoc="1" locked="0" layoutInCell="1" allowOverlap="1" wp14:anchorId="02E7F67B" wp14:editId="17E7743D">
              <wp:simplePos x="0" y="0"/>
              <wp:positionH relativeFrom="page">
                <wp:posOffset>5757290</wp:posOffset>
              </wp:positionH>
              <wp:positionV relativeFrom="page">
                <wp:posOffset>449144</wp:posOffset>
              </wp:positionV>
              <wp:extent cx="892810" cy="18542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185420"/>
                      </a:xfrm>
                      <a:prstGeom prst="rect">
                        <a:avLst/>
                      </a:prstGeom>
                    </wps:spPr>
                    <wps:txbx>
                      <w:txbxContent>
                        <w:p w14:paraId="0B100547" w14:textId="77777777" w:rsidR="00E32F98" w:rsidRDefault="00000000">
                          <w:pPr>
                            <w:pStyle w:val="Corpsdetexte"/>
                            <w:spacing w:before="17"/>
                            <w:ind w:left="20"/>
                          </w:pPr>
                          <w:r>
                            <w:t>Page</w:t>
                          </w:r>
                          <w:r>
                            <w:rPr>
                              <w:spacing w:val="-5"/>
                            </w:rPr>
                            <w:t xml:space="preserve"> </w:t>
                          </w:r>
                          <w:r>
                            <w:t>sur</w:t>
                          </w:r>
                          <w:r>
                            <w:rPr>
                              <w:spacing w:val="2"/>
                            </w:rPr>
                            <w:t xml:space="preserve"> </w:t>
                          </w:r>
                          <w:r>
                            <w:t>6</w:t>
                          </w:r>
                          <w:r>
                            <w:rPr>
                              <w:spacing w:val="-5"/>
                            </w:rPr>
                            <w:t xml:space="preserve"> 23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329987pt;margin-top:35.365673pt;width:70.3pt;height:14.6pt;mso-position-horizontal-relative:page;mso-position-vertical-relative:page;z-index:-16131584" type="#_x0000_t202" id="docshape21" filled="false" stroked="false">
              <v:textbox inset="0,0,0,0">
                <w:txbxContent>
                  <w:p>
                    <w:pPr>
                      <w:pStyle w:val="BodyText"/>
                      <w:spacing w:before="17"/>
                      <w:ind w:left="20"/>
                    </w:pPr>
                    <w:r>
                      <w:rPr/>
                      <w:t>Page</w:t>
                    </w:r>
                    <w:r>
                      <w:rPr>
                        <w:spacing w:val="-5"/>
                      </w:rPr>
                      <w:t> </w:t>
                    </w:r>
                    <w:r>
                      <w:rPr/>
                      <w:t>sur</w:t>
                    </w:r>
                    <w:r>
                      <w:rPr>
                        <w:spacing w:val="2"/>
                      </w:rPr>
                      <w:t> </w:t>
                    </w:r>
                    <w:r>
                      <w:rPr/>
                      <w:t>6</w:t>
                    </w:r>
                    <w:r>
                      <w:rPr>
                        <w:spacing w:val="-5"/>
                      </w:rPr>
                      <w:t> 23</w:t>
                    </w:r>
                  </w:p>
                </w:txbxContent>
              </v:textbox>
              <w10:wrap type="non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1CD0E" w14:textId="77777777" w:rsidR="00E32F98" w:rsidRDefault="00000000">
    <w:pPr>
      <w:pStyle w:val="Corpsdetexte"/>
      <w:spacing w:line="14" w:lineRule="auto"/>
      <w:rPr>
        <w:sz w:val="20"/>
      </w:rPr>
    </w:pPr>
    <w:r>
      <w:rPr>
        <w:noProof/>
        <w:sz w:val="20"/>
      </w:rPr>
      <mc:AlternateContent>
        <mc:Choice Requires="wps">
          <w:drawing>
            <wp:anchor distT="0" distB="0" distL="0" distR="0" simplePos="0" relativeHeight="487185408" behindDoc="1" locked="0" layoutInCell="1" allowOverlap="1" wp14:anchorId="25630F26" wp14:editId="6448F735">
              <wp:simplePos x="0" y="0"/>
              <wp:positionH relativeFrom="page">
                <wp:posOffset>896619</wp:posOffset>
              </wp:positionH>
              <wp:positionV relativeFrom="page">
                <wp:posOffset>629284</wp:posOffset>
              </wp:positionV>
              <wp:extent cx="5779135" cy="952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135" cy="9525"/>
                      </a:xfrm>
                      <a:custGeom>
                        <a:avLst/>
                        <a:gdLst/>
                        <a:ahLst/>
                        <a:cxnLst/>
                        <a:rect l="l" t="t" r="r" b="b"/>
                        <a:pathLst>
                          <a:path w="5779135" h="9525">
                            <a:moveTo>
                              <a:pt x="5779134" y="0"/>
                            </a:moveTo>
                            <a:lnTo>
                              <a:pt x="0" y="0"/>
                            </a:lnTo>
                            <a:lnTo>
                              <a:pt x="0" y="9525"/>
                            </a:lnTo>
                            <a:lnTo>
                              <a:pt x="5779134" y="9525"/>
                            </a:lnTo>
                            <a:lnTo>
                              <a:pt x="5779134"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0.599998pt;margin-top:49.549999pt;width:455.05pt;height:.75pt;mso-position-horizontal-relative:page;mso-position-vertical-relative:page;z-index:-16131072" id="docshape30" filled="true" fillcolor="#585858" stroked="false">
              <v:fill type="solid"/>
              <w10:wrap type="none"/>
            </v:rect>
          </w:pict>
        </mc:Fallback>
      </mc:AlternateContent>
    </w:r>
    <w:r>
      <w:rPr>
        <w:noProof/>
        <w:sz w:val="20"/>
      </w:rPr>
      <mc:AlternateContent>
        <mc:Choice Requires="wps">
          <w:drawing>
            <wp:anchor distT="0" distB="0" distL="0" distR="0" simplePos="0" relativeHeight="487185920" behindDoc="1" locked="0" layoutInCell="1" allowOverlap="1" wp14:anchorId="5E408677" wp14:editId="6C7377BE">
              <wp:simplePos x="0" y="0"/>
              <wp:positionH relativeFrom="page">
                <wp:posOffset>902969</wp:posOffset>
              </wp:positionH>
              <wp:positionV relativeFrom="page">
                <wp:posOffset>449144</wp:posOffset>
              </wp:positionV>
              <wp:extent cx="3156585" cy="18542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6585" cy="185420"/>
                      </a:xfrm>
                      <a:prstGeom prst="rect">
                        <a:avLst/>
                      </a:prstGeom>
                    </wps:spPr>
                    <wps:txbx>
                      <w:txbxContent>
                        <w:p w14:paraId="278CF311" w14:textId="77777777" w:rsidR="00E32F98" w:rsidRDefault="00000000">
                          <w:pPr>
                            <w:pStyle w:val="Corpsdetexte"/>
                            <w:spacing w:before="17"/>
                            <w:ind w:left="20"/>
                          </w:pPr>
                          <w:r>
                            <w:t>Décision</w:t>
                          </w:r>
                          <w:r>
                            <w:rPr>
                              <w:spacing w:val="-9"/>
                            </w:rPr>
                            <w:t xml:space="preserve"> </w:t>
                          </w:r>
                          <w:r>
                            <w:t>sur</w:t>
                          </w:r>
                          <w:r>
                            <w:rPr>
                              <w:spacing w:val="-3"/>
                            </w:rPr>
                            <w:t xml:space="preserve"> </w:t>
                          </w:r>
                          <w:r>
                            <w:t>la</w:t>
                          </w:r>
                          <w:r>
                            <w:rPr>
                              <w:spacing w:val="-8"/>
                            </w:rPr>
                            <w:t xml:space="preserve"> </w:t>
                          </w:r>
                          <w:r>
                            <w:t>demande</w:t>
                          </w:r>
                          <w:r>
                            <w:rPr>
                              <w:spacing w:val="-8"/>
                            </w:rPr>
                            <w:t xml:space="preserve"> </w:t>
                          </w:r>
                          <w:r>
                            <w:t>d’annulation</w:t>
                          </w:r>
                          <w:r>
                            <w:rPr>
                              <w:spacing w:val="-8"/>
                            </w:rPr>
                            <w:t xml:space="preserve"> </w:t>
                          </w:r>
                          <w:r>
                            <w:t>no</w:t>
                          </w:r>
                          <w:r>
                            <w:rPr>
                              <w:spacing w:val="-8"/>
                            </w:rPr>
                            <w:t xml:space="preserve"> </w:t>
                          </w:r>
                          <w:r>
                            <w:t>C</w:t>
                          </w:r>
                          <w:r>
                            <w:rPr>
                              <w:spacing w:val="-1"/>
                            </w:rPr>
                            <w:t xml:space="preserve"> </w:t>
                          </w:r>
                          <w:r>
                            <w:t xml:space="preserve">59 </w:t>
                          </w:r>
                          <w:r>
                            <w:rPr>
                              <w:spacing w:val="-5"/>
                            </w:rPr>
                            <w:t>427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099998pt;margin-top:35.365673pt;width:248.55pt;height:14.6pt;mso-position-horizontal-relative:page;mso-position-vertical-relative:page;z-index:-16130560" type="#_x0000_t202" id="docshape31" filled="false" stroked="false">
              <v:textbox inset="0,0,0,0">
                <w:txbxContent>
                  <w:p>
                    <w:pPr>
                      <w:pStyle w:val="BodyText"/>
                      <w:spacing w:before="17"/>
                      <w:ind w:left="20"/>
                    </w:pPr>
                    <w:r>
                      <w:rPr/>
                      <w:t>Décision</w:t>
                    </w:r>
                    <w:r>
                      <w:rPr>
                        <w:spacing w:val="-9"/>
                      </w:rPr>
                      <w:t> </w:t>
                    </w:r>
                    <w:r>
                      <w:rPr/>
                      <w:t>sur</w:t>
                    </w:r>
                    <w:r>
                      <w:rPr>
                        <w:spacing w:val="-3"/>
                      </w:rPr>
                      <w:t> </w:t>
                    </w:r>
                    <w:r>
                      <w:rPr/>
                      <w:t>la</w:t>
                    </w:r>
                    <w:r>
                      <w:rPr>
                        <w:spacing w:val="-8"/>
                      </w:rPr>
                      <w:t> </w:t>
                    </w:r>
                    <w:r>
                      <w:rPr/>
                      <w:t>demande</w:t>
                    </w:r>
                    <w:r>
                      <w:rPr>
                        <w:spacing w:val="-8"/>
                      </w:rPr>
                      <w:t> </w:t>
                    </w:r>
                    <w:r>
                      <w:rPr/>
                      <w:t>d’annulation</w:t>
                    </w:r>
                    <w:r>
                      <w:rPr>
                        <w:spacing w:val="-8"/>
                      </w:rPr>
                      <w:t> </w:t>
                    </w:r>
                    <w:r>
                      <w:rPr/>
                      <w:t>no</w:t>
                    </w:r>
                    <w:r>
                      <w:rPr>
                        <w:spacing w:val="-8"/>
                      </w:rPr>
                      <w:t> </w:t>
                    </w:r>
                    <w:r>
                      <w:rPr/>
                      <w:t>C</w:t>
                    </w:r>
                    <w:r>
                      <w:rPr>
                        <w:spacing w:val="-1"/>
                      </w:rPr>
                      <w:t> </w:t>
                    </w:r>
                    <w:r>
                      <w:rPr/>
                      <w:t>59 </w:t>
                    </w:r>
                    <w:r>
                      <w:rPr>
                        <w:spacing w:val="-5"/>
                      </w:rPr>
                      <w:t>427</w:t>
                    </w:r>
                  </w:p>
                </w:txbxContent>
              </v:textbox>
              <w10:wrap type="none"/>
            </v:shape>
          </w:pict>
        </mc:Fallback>
      </mc:AlternateContent>
    </w:r>
    <w:r>
      <w:rPr>
        <w:noProof/>
        <w:sz w:val="20"/>
      </w:rPr>
      <mc:AlternateContent>
        <mc:Choice Requires="wps">
          <w:drawing>
            <wp:anchor distT="0" distB="0" distL="0" distR="0" simplePos="0" relativeHeight="487186432" behindDoc="1" locked="0" layoutInCell="1" allowOverlap="1" wp14:anchorId="24C59F2C" wp14:editId="4C782B3B">
              <wp:simplePos x="0" y="0"/>
              <wp:positionH relativeFrom="page">
                <wp:posOffset>5757290</wp:posOffset>
              </wp:positionH>
              <wp:positionV relativeFrom="page">
                <wp:posOffset>449144</wp:posOffset>
              </wp:positionV>
              <wp:extent cx="892810" cy="18542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185420"/>
                      </a:xfrm>
                      <a:prstGeom prst="rect">
                        <a:avLst/>
                      </a:prstGeom>
                    </wps:spPr>
                    <wps:txbx>
                      <w:txbxContent>
                        <w:p w14:paraId="226854CD" w14:textId="77777777" w:rsidR="00E32F98" w:rsidRDefault="00000000">
                          <w:pPr>
                            <w:pStyle w:val="Corpsdetexte"/>
                            <w:spacing w:before="17"/>
                            <w:ind w:left="20"/>
                          </w:pPr>
                          <w:r>
                            <w:t>Page</w:t>
                          </w:r>
                          <w:r>
                            <w:rPr>
                              <w:spacing w:val="-5"/>
                            </w:rPr>
                            <w:t xml:space="preserve"> </w:t>
                          </w:r>
                          <w:r>
                            <w:t>sur</w:t>
                          </w:r>
                          <w:r>
                            <w:rPr>
                              <w:spacing w:val="2"/>
                            </w:rPr>
                            <w:t xml:space="preserve"> </w:t>
                          </w:r>
                          <w:r>
                            <w:t>7</w:t>
                          </w:r>
                          <w:r>
                            <w:rPr>
                              <w:spacing w:val="-5"/>
                            </w:rPr>
                            <w:t xml:space="preserve"> 23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329987pt;margin-top:35.365673pt;width:70.3pt;height:14.6pt;mso-position-horizontal-relative:page;mso-position-vertical-relative:page;z-index:-16130048" type="#_x0000_t202" id="docshape32" filled="false" stroked="false">
              <v:textbox inset="0,0,0,0">
                <w:txbxContent>
                  <w:p>
                    <w:pPr>
                      <w:pStyle w:val="BodyText"/>
                      <w:spacing w:before="17"/>
                      <w:ind w:left="20"/>
                    </w:pPr>
                    <w:r>
                      <w:rPr/>
                      <w:t>Page</w:t>
                    </w:r>
                    <w:r>
                      <w:rPr>
                        <w:spacing w:val="-5"/>
                      </w:rPr>
                      <w:t> </w:t>
                    </w:r>
                    <w:r>
                      <w:rPr/>
                      <w:t>sur</w:t>
                    </w:r>
                    <w:r>
                      <w:rPr>
                        <w:spacing w:val="2"/>
                      </w:rPr>
                      <w:t> </w:t>
                    </w:r>
                    <w:r>
                      <w:rPr/>
                      <w:t>7</w:t>
                    </w:r>
                    <w:r>
                      <w:rPr>
                        <w:spacing w:val="-5"/>
                      </w:rPr>
                      <w:t> 23</w:t>
                    </w:r>
                  </w:p>
                </w:txbxContent>
              </v:textbox>
              <w10:wrap type="non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C992E" w14:textId="77777777" w:rsidR="00E32F98" w:rsidRDefault="00000000">
    <w:pPr>
      <w:pStyle w:val="Corpsdetexte"/>
      <w:spacing w:line="14" w:lineRule="auto"/>
      <w:rPr>
        <w:sz w:val="20"/>
      </w:rPr>
    </w:pPr>
    <w:r>
      <w:rPr>
        <w:noProof/>
        <w:sz w:val="20"/>
      </w:rPr>
      <mc:AlternateContent>
        <mc:Choice Requires="wps">
          <w:drawing>
            <wp:anchor distT="0" distB="0" distL="0" distR="0" simplePos="0" relativeHeight="487186944" behindDoc="1" locked="0" layoutInCell="1" allowOverlap="1" wp14:anchorId="391F64E1" wp14:editId="046DDB8A">
              <wp:simplePos x="0" y="0"/>
              <wp:positionH relativeFrom="page">
                <wp:posOffset>896619</wp:posOffset>
              </wp:positionH>
              <wp:positionV relativeFrom="page">
                <wp:posOffset>629284</wp:posOffset>
              </wp:positionV>
              <wp:extent cx="5779135" cy="952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135" cy="9525"/>
                      </a:xfrm>
                      <a:custGeom>
                        <a:avLst/>
                        <a:gdLst/>
                        <a:ahLst/>
                        <a:cxnLst/>
                        <a:rect l="l" t="t" r="r" b="b"/>
                        <a:pathLst>
                          <a:path w="5779135" h="9525">
                            <a:moveTo>
                              <a:pt x="5779134" y="0"/>
                            </a:moveTo>
                            <a:lnTo>
                              <a:pt x="0" y="0"/>
                            </a:lnTo>
                            <a:lnTo>
                              <a:pt x="0" y="9525"/>
                            </a:lnTo>
                            <a:lnTo>
                              <a:pt x="5779134" y="9525"/>
                            </a:lnTo>
                            <a:lnTo>
                              <a:pt x="5779134"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0.599998pt;margin-top:49.549999pt;width:455.05pt;height:.75pt;mso-position-horizontal-relative:page;mso-position-vertical-relative:page;z-index:-16129536" id="docshape37" filled="true" fillcolor="#585858" stroked="false">
              <v:fill type="solid"/>
              <w10:wrap type="none"/>
            </v:rect>
          </w:pict>
        </mc:Fallback>
      </mc:AlternateContent>
    </w:r>
    <w:r>
      <w:rPr>
        <w:noProof/>
        <w:sz w:val="20"/>
      </w:rPr>
      <mc:AlternateContent>
        <mc:Choice Requires="wps">
          <w:drawing>
            <wp:anchor distT="0" distB="0" distL="0" distR="0" simplePos="0" relativeHeight="487187456" behindDoc="1" locked="0" layoutInCell="1" allowOverlap="1" wp14:anchorId="058C01C5" wp14:editId="672CA4BA">
              <wp:simplePos x="0" y="0"/>
              <wp:positionH relativeFrom="page">
                <wp:posOffset>902969</wp:posOffset>
              </wp:positionH>
              <wp:positionV relativeFrom="page">
                <wp:posOffset>449144</wp:posOffset>
              </wp:positionV>
              <wp:extent cx="3156585" cy="18542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6585" cy="185420"/>
                      </a:xfrm>
                      <a:prstGeom prst="rect">
                        <a:avLst/>
                      </a:prstGeom>
                    </wps:spPr>
                    <wps:txbx>
                      <w:txbxContent>
                        <w:p w14:paraId="259B42DA" w14:textId="77777777" w:rsidR="00E32F98" w:rsidRDefault="00000000">
                          <w:pPr>
                            <w:pStyle w:val="Corpsdetexte"/>
                            <w:spacing w:before="17"/>
                            <w:ind w:left="20"/>
                          </w:pPr>
                          <w:r>
                            <w:t>Décision</w:t>
                          </w:r>
                          <w:r>
                            <w:rPr>
                              <w:spacing w:val="-9"/>
                            </w:rPr>
                            <w:t xml:space="preserve"> </w:t>
                          </w:r>
                          <w:r>
                            <w:t>sur</w:t>
                          </w:r>
                          <w:r>
                            <w:rPr>
                              <w:spacing w:val="-3"/>
                            </w:rPr>
                            <w:t xml:space="preserve"> </w:t>
                          </w:r>
                          <w:r>
                            <w:t>la</w:t>
                          </w:r>
                          <w:r>
                            <w:rPr>
                              <w:spacing w:val="-8"/>
                            </w:rPr>
                            <w:t xml:space="preserve"> </w:t>
                          </w:r>
                          <w:r>
                            <w:t>demande</w:t>
                          </w:r>
                          <w:r>
                            <w:rPr>
                              <w:spacing w:val="-8"/>
                            </w:rPr>
                            <w:t xml:space="preserve"> </w:t>
                          </w:r>
                          <w:r>
                            <w:t>d’annulation</w:t>
                          </w:r>
                          <w:r>
                            <w:rPr>
                              <w:spacing w:val="-8"/>
                            </w:rPr>
                            <w:t xml:space="preserve"> </w:t>
                          </w:r>
                          <w:r>
                            <w:t>no</w:t>
                          </w:r>
                          <w:r>
                            <w:rPr>
                              <w:spacing w:val="-8"/>
                            </w:rPr>
                            <w:t xml:space="preserve"> </w:t>
                          </w:r>
                          <w:r>
                            <w:t>C</w:t>
                          </w:r>
                          <w:r>
                            <w:rPr>
                              <w:spacing w:val="-1"/>
                            </w:rPr>
                            <w:t xml:space="preserve"> </w:t>
                          </w:r>
                          <w:r>
                            <w:t xml:space="preserve">59 </w:t>
                          </w:r>
                          <w:r>
                            <w:rPr>
                              <w:spacing w:val="-5"/>
                            </w:rPr>
                            <w:t>427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099998pt;margin-top:35.365673pt;width:248.55pt;height:14.6pt;mso-position-horizontal-relative:page;mso-position-vertical-relative:page;z-index:-16129024" type="#_x0000_t202" id="docshape38" filled="false" stroked="false">
              <v:textbox inset="0,0,0,0">
                <w:txbxContent>
                  <w:p>
                    <w:pPr>
                      <w:pStyle w:val="BodyText"/>
                      <w:spacing w:before="17"/>
                      <w:ind w:left="20"/>
                    </w:pPr>
                    <w:r>
                      <w:rPr/>
                      <w:t>Décision</w:t>
                    </w:r>
                    <w:r>
                      <w:rPr>
                        <w:spacing w:val="-9"/>
                      </w:rPr>
                      <w:t> </w:t>
                    </w:r>
                    <w:r>
                      <w:rPr/>
                      <w:t>sur</w:t>
                    </w:r>
                    <w:r>
                      <w:rPr>
                        <w:spacing w:val="-3"/>
                      </w:rPr>
                      <w:t> </w:t>
                    </w:r>
                    <w:r>
                      <w:rPr/>
                      <w:t>la</w:t>
                    </w:r>
                    <w:r>
                      <w:rPr>
                        <w:spacing w:val="-8"/>
                      </w:rPr>
                      <w:t> </w:t>
                    </w:r>
                    <w:r>
                      <w:rPr/>
                      <w:t>demande</w:t>
                    </w:r>
                    <w:r>
                      <w:rPr>
                        <w:spacing w:val="-8"/>
                      </w:rPr>
                      <w:t> </w:t>
                    </w:r>
                    <w:r>
                      <w:rPr/>
                      <w:t>d’annulation</w:t>
                    </w:r>
                    <w:r>
                      <w:rPr>
                        <w:spacing w:val="-8"/>
                      </w:rPr>
                      <w:t> </w:t>
                    </w:r>
                    <w:r>
                      <w:rPr/>
                      <w:t>no</w:t>
                    </w:r>
                    <w:r>
                      <w:rPr>
                        <w:spacing w:val="-8"/>
                      </w:rPr>
                      <w:t> </w:t>
                    </w:r>
                    <w:r>
                      <w:rPr/>
                      <w:t>C</w:t>
                    </w:r>
                    <w:r>
                      <w:rPr>
                        <w:spacing w:val="-1"/>
                      </w:rPr>
                      <w:t> </w:t>
                    </w:r>
                    <w:r>
                      <w:rPr/>
                      <w:t>59 </w:t>
                    </w:r>
                    <w:r>
                      <w:rPr>
                        <w:spacing w:val="-5"/>
                      </w:rPr>
                      <w:t>427</w:t>
                    </w:r>
                  </w:p>
                </w:txbxContent>
              </v:textbox>
              <w10:wrap type="none"/>
            </v:shape>
          </w:pict>
        </mc:Fallback>
      </mc:AlternateContent>
    </w:r>
    <w:r>
      <w:rPr>
        <w:noProof/>
        <w:sz w:val="20"/>
      </w:rPr>
      <mc:AlternateContent>
        <mc:Choice Requires="wps">
          <w:drawing>
            <wp:anchor distT="0" distB="0" distL="0" distR="0" simplePos="0" relativeHeight="487187968" behindDoc="1" locked="0" layoutInCell="1" allowOverlap="1" wp14:anchorId="36B85C52" wp14:editId="59BA8D14">
              <wp:simplePos x="0" y="0"/>
              <wp:positionH relativeFrom="page">
                <wp:posOffset>5757290</wp:posOffset>
              </wp:positionH>
              <wp:positionV relativeFrom="page">
                <wp:posOffset>449144</wp:posOffset>
              </wp:positionV>
              <wp:extent cx="892810" cy="18542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185420"/>
                      </a:xfrm>
                      <a:prstGeom prst="rect">
                        <a:avLst/>
                      </a:prstGeom>
                    </wps:spPr>
                    <wps:txbx>
                      <w:txbxContent>
                        <w:p w14:paraId="1D44987E" w14:textId="77777777" w:rsidR="00E32F98" w:rsidRDefault="00000000">
                          <w:pPr>
                            <w:pStyle w:val="Corpsdetexte"/>
                            <w:spacing w:before="17"/>
                            <w:ind w:left="20"/>
                          </w:pPr>
                          <w:r>
                            <w:t>Page</w:t>
                          </w:r>
                          <w:r>
                            <w:rPr>
                              <w:spacing w:val="-5"/>
                            </w:rPr>
                            <w:t xml:space="preserve"> </w:t>
                          </w:r>
                          <w:r>
                            <w:t>sur</w:t>
                          </w:r>
                          <w:r>
                            <w:rPr>
                              <w:spacing w:val="2"/>
                            </w:rPr>
                            <w:t xml:space="preserve"> </w:t>
                          </w:r>
                          <w:r>
                            <w:t>8</w:t>
                          </w:r>
                          <w:r>
                            <w:rPr>
                              <w:spacing w:val="-5"/>
                            </w:rPr>
                            <w:t xml:space="preserve"> 23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329987pt;margin-top:35.365673pt;width:70.3pt;height:14.6pt;mso-position-horizontal-relative:page;mso-position-vertical-relative:page;z-index:-16128512" type="#_x0000_t202" id="docshape39" filled="false" stroked="false">
              <v:textbox inset="0,0,0,0">
                <w:txbxContent>
                  <w:p>
                    <w:pPr>
                      <w:pStyle w:val="BodyText"/>
                      <w:spacing w:before="17"/>
                      <w:ind w:left="20"/>
                    </w:pPr>
                    <w:r>
                      <w:rPr/>
                      <w:t>Page</w:t>
                    </w:r>
                    <w:r>
                      <w:rPr>
                        <w:spacing w:val="-5"/>
                      </w:rPr>
                      <w:t> </w:t>
                    </w:r>
                    <w:r>
                      <w:rPr/>
                      <w:t>sur</w:t>
                    </w:r>
                    <w:r>
                      <w:rPr>
                        <w:spacing w:val="2"/>
                      </w:rPr>
                      <w:t> </w:t>
                    </w:r>
                    <w:r>
                      <w:rPr/>
                      <w:t>8</w:t>
                    </w:r>
                    <w:r>
                      <w:rPr>
                        <w:spacing w:val="-5"/>
                      </w:rPr>
                      <w:t> 23</w:t>
                    </w:r>
                  </w:p>
                </w:txbxContent>
              </v:textbox>
              <w10:wrap type="non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9C3F7" w14:textId="77777777" w:rsidR="00E32F98" w:rsidRDefault="00000000">
    <w:pPr>
      <w:pStyle w:val="Corpsdetexte"/>
      <w:spacing w:line="14" w:lineRule="auto"/>
      <w:rPr>
        <w:sz w:val="20"/>
      </w:rPr>
    </w:pPr>
    <w:r>
      <w:rPr>
        <w:noProof/>
        <w:sz w:val="20"/>
      </w:rPr>
      <mc:AlternateContent>
        <mc:Choice Requires="wps">
          <w:drawing>
            <wp:anchor distT="0" distB="0" distL="0" distR="0" simplePos="0" relativeHeight="487188480" behindDoc="1" locked="0" layoutInCell="1" allowOverlap="1" wp14:anchorId="64C3298E" wp14:editId="2E1E1F01">
              <wp:simplePos x="0" y="0"/>
              <wp:positionH relativeFrom="page">
                <wp:posOffset>896619</wp:posOffset>
              </wp:positionH>
              <wp:positionV relativeFrom="page">
                <wp:posOffset>629284</wp:posOffset>
              </wp:positionV>
              <wp:extent cx="5779135" cy="952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135" cy="9525"/>
                      </a:xfrm>
                      <a:custGeom>
                        <a:avLst/>
                        <a:gdLst/>
                        <a:ahLst/>
                        <a:cxnLst/>
                        <a:rect l="l" t="t" r="r" b="b"/>
                        <a:pathLst>
                          <a:path w="5779135" h="9525">
                            <a:moveTo>
                              <a:pt x="5779134" y="0"/>
                            </a:moveTo>
                            <a:lnTo>
                              <a:pt x="0" y="0"/>
                            </a:lnTo>
                            <a:lnTo>
                              <a:pt x="0" y="9525"/>
                            </a:lnTo>
                            <a:lnTo>
                              <a:pt x="5779134" y="9525"/>
                            </a:lnTo>
                            <a:lnTo>
                              <a:pt x="5779134"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0.599998pt;margin-top:49.549999pt;width:455.05pt;height:.75pt;mso-position-horizontal-relative:page;mso-position-vertical-relative:page;z-index:-16128000" id="docshape41" filled="true" fillcolor="#585858" stroked="false">
              <v:fill type="solid"/>
              <w10:wrap type="none"/>
            </v:rect>
          </w:pict>
        </mc:Fallback>
      </mc:AlternateContent>
    </w:r>
    <w:r>
      <w:rPr>
        <w:noProof/>
        <w:sz w:val="20"/>
      </w:rPr>
      <mc:AlternateContent>
        <mc:Choice Requires="wps">
          <w:drawing>
            <wp:anchor distT="0" distB="0" distL="0" distR="0" simplePos="0" relativeHeight="487188992" behindDoc="1" locked="0" layoutInCell="1" allowOverlap="1" wp14:anchorId="54982ADA" wp14:editId="6CB0BD97">
              <wp:simplePos x="0" y="0"/>
              <wp:positionH relativeFrom="page">
                <wp:posOffset>902969</wp:posOffset>
              </wp:positionH>
              <wp:positionV relativeFrom="page">
                <wp:posOffset>449144</wp:posOffset>
              </wp:positionV>
              <wp:extent cx="3156585" cy="18542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6585" cy="185420"/>
                      </a:xfrm>
                      <a:prstGeom prst="rect">
                        <a:avLst/>
                      </a:prstGeom>
                    </wps:spPr>
                    <wps:txbx>
                      <w:txbxContent>
                        <w:p w14:paraId="2EA6AC11" w14:textId="77777777" w:rsidR="00E32F98" w:rsidRDefault="00000000">
                          <w:pPr>
                            <w:pStyle w:val="Corpsdetexte"/>
                            <w:spacing w:before="17"/>
                            <w:ind w:left="20"/>
                          </w:pPr>
                          <w:r>
                            <w:t>Décision</w:t>
                          </w:r>
                          <w:r>
                            <w:rPr>
                              <w:spacing w:val="-9"/>
                            </w:rPr>
                            <w:t xml:space="preserve"> </w:t>
                          </w:r>
                          <w:r>
                            <w:t>sur</w:t>
                          </w:r>
                          <w:r>
                            <w:rPr>
                              <w:spacing w:val="-3"/>
                            </w:rPr>
                            <w:t xml:space="preserve"> </w:t>
                          </w:r>
                          <w:r>
                            <w:t>la</w:t>
                          </w:r>
                          <w:r>
                            <w:rPr>
                              <w:spacing w:val="-8"/>
                            </w:rPr>
                            <w:t xml:space="preserve"> </w:t>
                          </w:r>
                          <w:r>
                            <w:t>demande</w:t>
                          </w:r>
                          <w:r>
                            <w:rPr>
                              <w:spacing w:val="-8"/>
                            </w:rPr>
                            <w:t xml:space="preserve"> </w:t>
                          </w:r>
                          <w:r>
                            <w:t>d’annulation</w:t>
                          </w:r>
                          <w:r>
                            <w:rPr>
                              <w:spacing w:val="-8"/>
                            </w:rPr>
                            <w:t xml:space="preserve"> </w:t>
                          </w:r>
                          <w:r>
                            <w:t>no</w:t>
                          </w:r>
                          <w:r>
                            <w:rPr>
                              <w:spacing w:val="-8"/>
                            </w:rPr>
                            <w:t xml:space="preserve"> </w:t>
                          </w:r>
                          <w:r>
                            <w:t>C</w:t>
                          </w:r>
                          <w:r>
                            <w:rPr>
                              <w:spacing w:val="-1"/>
                            </w:rPr>
                            <w:t xml:space="preserve"> </w:t>
                          </w:r>
                          <w:r>
                            <w:t xml:space="preserve">59 </w:t>
                          </w:r>
                          <w:r>
                            <w:rPr>
                              <w:spacing w:val="-5"/>
                            </w:rPr>
                            <w:t>427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099998pt;margin-top:35.365673pt;width:248.55pt;height:14.6pt;mso-position-horizontal-relative:page;mso-position-vertical-relative:page;z-index:-16127488" type="#_x0000_t202" id="docshape42" filled="false" stroked="false">
              <v:textbox inset="0,0,0,0">
                <w:txbxContent>
                  <w:p>
                    <w:pPr>
                      <w:pStyle w:val="BodyText"/>
                      <w:spacing w:before="17"/>
                      <w:ind w:left="20"/>
                    </w:pPr>
                    <w:r>
                      <w:rPr/>
                      <w:t>Décision</w:t>
                    </w:r>
                    <w:r>
                      <w:rPr>
                        <w:spacing w:val="-9"/>
                      </w:rPr>
                      <w:t> </w:t>
                    </w:r>
                    <w:r>
                      <w:rPr/>
                      <w:t>sur</w:t>
                    </w:r>
                    <w:r>
                      <w:rPr>
                        <w:spacing w:val="-3"/>
                      </w:rPr>
                      <w:t> </w:t>
                    </w:r>
                    <w:r>
                      <w:rPr/>
                      <w:t>la</w:t>
                    </w:r>
                    <w:r>
                      <w:rPr>
                        <w:spacing w:val="-8"/>
                      </w:rPr>
                      <w:t> </w:t>
                    </w:r>
                    <w:r>
                      <w:rPr/>
                      <w:t>demande</w:t>
                    </w:r>
                    <w:r>
                      <w:rPr>
                        <w:spacing w:val="-8"/>
                      </w:rPr>
                      <w:t> </w:t>
                    </w:r>
                    <w:r>
                      <w:rPr/>
                      <w:t>d’annulation</w:t>
                    </w:r>
                    <w:r>
                      <w:rPr>
                        <w:spacing w:val="-8"/>
                      </w:rPr>
                      <w:t> </w:t>
                    </w:r>
                    <w:r>
                      <w:rPr/>
                      <w:t>no</w:t>
                    </w:r>
                    <w:r>
                      <w:rPr>
                        <w:spacing w:val="-8"/>
                      </w:rPr>
                      <w:t> </w:t>
                    </w:r>
                    <w:r>
                      <w:rPr/>
                      <w:t>C</w:t>
                    </w:r>
                    <w:r>
                      <w:rPr>
                        <w:spacing w:val="-1"/>
                      </w:rPr>
                      <w:t> </w:t>
                    </w:r>
                    <w:r>
                      <w:rPr/>
                      <w:t>59 </w:t>
                    </w:r>
                    <w:r>
                      <w:rPr>
                        <w:spacing w:val="-5"/>
                      </w:rPr>
                      <w:t>427</w:t>
                    </w:r>
                  </w:p>
                </w:txbxContent>
              </v:textbox>
              <w10:wrap type="none"/>
            </v:shape>
          </w:pict>
        </mc:Fallback>
      </mc:AlternateContent>
    </w:r>
    <w:r>
      <w:rPr>
        <w:noProof/>
        <w:sz w:val="20"/>
      </w:rPr>
      <mc:AlternateContent>
        <mc:Choice Requires="wps">
          <w:drawing>
            <wp:anchor distT="0" distB="0" distL="0" distR="0" simplePos="0" relativeHeight="487189504" behindDoc="1" locked="0" layoutInCell="1" allowOverlap="1" wp14:anchorId="5366463C" wp14:editId="15A159B8">
              <wp:simplePos x="0" y="0"/>
              <wp:positionH relativeFrom="page">
                <wp:posOffset>5757290</wp:posOffset>
              </wp:positionH>
              <wp:positionV relativeFrom="page">
                <wp:posOffset>449144</wp:posOffset>
              </wp:positionV>
              <wp:extent cx="892810" cy="18542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185420"/>
                      </a:xfrm>
                      <a:prstGeom prst="rect">
                        <a:avLst/>
                      </a:prstGeom>
                    </wps:spPr>
                    <wps:txbx>
                      <w:txbxContent>
                        <w:p w14:paraId="39B10FFD" w14:textId="77777777" w:rsidR="00E32F98" w:rsidRDefault="00000000">
                          <w:pPr>
                            <w:pStyle w:val="Corpsdetexte"/>
                            <w:spacing w:before="17"/>
                            <w:ind w:left="20"/>
                          </w:pPr>
                          <w:r>
                            <w:t>Page</w:t>
                          </w:r>
                          <w:r>
                            <w:rPr>
                              <w:spacing w:val="-5"/>
                            </w:rPr>
                            <w:t xml:space="preserve"> </w:t>
                          </w:r>
                          <w:r>
                            <w:t>sur</w:t>
                          </w:r>
                          <w:r>
                            <w:rPr>
                              <w:spacing w:val="2"/>
                            </w:rPr>
                            <w:t xml:space="preserve"> </w:t>
                          </w:r>
                          <w:r>
                            <w:t>9</w:t>
                          </w:r>
                          <w:r>
                            <w:rPr>
                              <w:spacing w:val="-5"/>
                            </w:rPr>
                            <w:t xml:space="preserve"> 23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329987pt;margin-top:35.365673pt;width:70.3pt;height:14.6pt;mso-position-horizontal-relative:page;mso-position-vertical-relative:page;z-index:-16126976" type="#_x0000_t202" id="docshape43" filled="false" stroked="false">
              <v:textbox inset="0,0,0,0">
                <w:txbxContent>
                  <w:p>
                    <w:pPr>
                      <w:pStyle w:val="BodyText"/>
                      <w:spacing w:before="17"/>
                      <w:ind w:left="20"/>
                    </w:pPr>
                    <w:r>
                      <w:rPr/>
                      <w:t>Page</w:t>
                    </w:r>
                    <w:r>
                      <w:rPr>
                        <w:spacing w:val="-5"/>
                      </w:rPr>
                      <w:t> </w:t>
                    </w:r>
                    <w:r>
                      <w:rPr/>
                      <w:t>sur</w:t>
                    </w:r>
                    <w:r>
                      <w:rPr>
                        <w:spacing w:val="2"/>
                      </w:rPr>
                      <w:t> </w:t>
                    </w:r>
                    <w:r>
                      <w:rPr/>
                      <w:t>9</w:t>
                    </w:r>
                    <w:r>
                      <w:rPr>
                        <w:spacing w:val="-5"/>
                      </w:rPr>
                      <w:t> 23</w:t>
                    </w:r>
                  </w:p>
                </w:txbxContent>
              </v:textbox>
              <w10:wrap type="non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BA9E8" w14:textId="77777777" w:rsidR="00E32F98" w:rsidRDefault="00000000">
    <w:pPr>
      <w:pStyle w:val="Corpsdetexte"/>
      <w:spacing w:line="14" w:lineRule="auto"/>
      <w:rPr>
        <w:sz w:val="20"/>
      </w:rPr>
    </w:pPr>
    <w:r>
      <w:rPr>
        <w:noProof/>
        <w:sz w:val="20"/>
      </w:rPr>
      <mc:AlternateContent>
        <mc:Choice Requires="wps">
          <w:drawing>
            <wp:anchor distT="0" distB="0" distL="0" distR="0" simplePos="0" relativeHeight="487190016" behindDoc="1" locked="0" layoutInCell="1" allowOverlap="1" wp14:anchorId="69FBAD3A" wp14:editId="77316B8D">
              <wp:simplePos x="0" y="0"/>
              <wp:positionH relativeFrom="page">
                <wp:posOffset>896619</wp:posOffset>
              </wp:positionH>
              <wp:positionV relativeFrom="page">
                <wp:posOffset>629284</wp:posOffset>
              </wp:positionV>
              <wp:extent cx="5779135" cy="952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135" cy="9525"/>
                      </a:xfrm>
                      <a:custGeom>
                        <a:avLst/>
                        <a:gdLst/>
                        <a:ahLst/>
                        <a:cxnLst/>
                        <a:rect l="l" t="t" r="r" b="b"/>
                        <a:pathLst>
                          <a:path w="5779135" h="9525">
                            <a:moveTo>
                              <a:pt x="5779134" y="0"/>
                            </a:moveTo>
                            <a:lnTo>
                              <a:pt x="0" y="0"/>
                            </a:lnTo>
                            <a:lnTo>
                              <a:pt x="0" y="9525"/>
                            </a:lnTo>
                            <a:lnTo>
                              <a:pt x="5779134" y="9525"/>
                            </a:lnTo>
                            <a:lnTo>
                              <a:pt x="5779134"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0.599998pt;margin-top:49.549999pt;width:455.05pt;height:.75pt;mso-position-horizontal-relative:page;mso-position-vertical-relative:page;z-index:-16126464" id="docshape55" filled="true" fillcolor="#585858" stroked="false">
              <v:fill type="solid"/>
              <w10:wrap type="none"/>
            </v:rect>
          </w:pict>
        </mc:Fallback>
      </mc:AlternateContent>
    </w:r>
    <w:r>
      <w:rPr>
        <w:noProof/>
        <w:sz w:val="20"/>
      </w:rPr>
      <mc:AlternateContent>
        <mc:Choice Requires="wps">
          <w:drawing>
            <wp:anchor distT="0" distB="0" distL="0" distR="0" simplePos="0" relativeHeight="487190528" behindDoc="1" locked="0" layoutInCell="1" allowOverlap="1" wp14:anchorId="3DF7E620" wp14:editId="6A4434A9">
              <wp:simplePos x="0" y="0"/>
              <wp:positionH relativeFrom="page">
                <wp:posOffset>902969</wp:posOffset>
              </wp:positionH>
              <wp:positionV relativeFrom="page">
                <wp:posOffset>449144</wp:posOffset>
              </wp:positionV>
              <wp:extent cx="3156585" cy="18542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6585" cy="185420"/>
                      </a:xfrm>
                      <a:prstGeom prst="rect">
                        <a:avLst/>
                      </a:prstGeom>
                    </wps:spPr>
                    <wps:txbx>
                      <w:txbxContent>
                        <w:p w14:paraId="3AB574A6" w14:textId="77777777" w:rsidR="00E32F98" w:rsidRDefault="00000000">
                          <w:pPr>
                            <w:pStyle w:val="Corpsdetexte"/>
                            <w:spacing w:before="17"/>
                            <w:ind w:left="20"/>
                          </w:pPr>
                          <w:r>
                            <w:t>Décision</w:t>
                          </w:r>
                          <w:r>
                            <w:rPr>
                              <w:spacing w:val="-9"/>
                            </w:rPr>
                            <w:t xml:space="preserve"> </w:t>
                          </w:r>
                          <w:r>
                            <w:t>sur</w:t>
                          </w:r>
                          <w:r>
                            <w:rPr>
                              <w:spacing w:val="-3"/>
                            </w:rPr>
                            <w:t xml:space="preserve"> </w:t>
                          </w:r>
                          <w:r>
                            <w:t>la</w:t>
                          </w:r>
                          <w:r>
                            <w:rPr>
                              <w:spacing w:val="-8"/>
                            </w:rPr>
                            <w:t xml:space="preserve"> </w:t>
                          </w:r>
                          <w:r>
                            <w:t>demande</w:t>
                          </w:r>
                          <w:r>
                            <w:rPr>
                              <w:spacing w:val="-8"/>
                            </w:rPr>
                            <w:t xml:space="preserve"> </w:t>
                          </w:r>
                          <w:r>
                            <w:t>d’annulation</w:t>
                          </w:r>
                          <w:r>
                            <w:rPr>
                              <w:spacing w:val="-8"/>
                            </w:rPr>
                            <w:t xml:space="preserve"> </w:t>
                          </w:r>
                          <w:r>
                            <w:t>no</w:t>
                          </w:r>
                          <w:r>
                            <w:rPr>
                              <w:spacing w:val="-8"/>
                            </w:rPr>
                            <w:t xml:space="preserve"> </w:t>
                          </w:r>
                          <w:r>
                            <w:t>C</w:t>
                          </w:r>
                          <w:r>
                            <w:rPr>
                              <w:spacing w:val="-1"/>
                            </w:rPr>
                            <w:t xml:space="preserve"> </w:t>
                          </w:r>
                          <w:r>
                            <w:t xml:space="preserve">59 </w:t>
                          </w:r>
                          <w:r>
                            <w:rPr>
                              <w:spacing w:val="-5"/>
                            </w:rPr>
                            <w:t>427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099998pt;margin-top:35.365673pt;width:248.55pt;height:14.6pt;mso-position-horizontal-relative:page;mso-position-vertical-relative:page;z-index:-16125952" type="#_x0000_t202" id="docshape56" filled="false" stroked="false">
              <v:textbox inset="0,0,0,0">
                <w:txbxContent>
                  <w:p>
                    <w:pPr>
                      <w:pStyle w:val="BodyText"/>
                      <w:spacing w:before="17"/>
                      <w:ind w:left="20"/>
                    </w:pPr>
                    <w:r>
                      <w:rPr/>
                      <w:t>Décision</w:t>
                    </w:r>
                    <w:r>
                      <w:rPr>
                        <w:spacing w:val="-9"/>
                      </w:rPr>
                      <w:t> </w:t>
                    </w:r>
                    <w:r>
                      <w:rPr/>
                      <w:t>sur</w:t>
                    </w:r>
                    <w:r>
                      <w:rPr>
                        <w:spacing w:val="-3"/>
                      </w:rPr>
                      <w:t> </w:t>
                    </w:r>
                    <w:r>
                      <w:rPr/>
                      <w:t>la</w:t>
                    </w:r>
                    <w:r>
                      <w:rPr>
                        <w:spacing w:val="-8"/>
                      </w:rPr>
                      <w:t> </w:t>
                    </w:r>
                    <w:r>
                      <w:rPr/>
                      <w:t>demande</w:t>
                    </w:r>
                    <w:r>
                      <w:rPr>
                        <w:spacing w:val="-8"/>
                      </w:rPr>
                      <w:t> </w:t>
                    </w:r>
                    <w:r>
                      <w:rPr/>
                      <w:t>d’annulation</w:t>
                    </w:r>
                    <w:r>
                      <w:rPr>
                        <w:spacing w:val="-8"/>
                      </w:rPr>
                      <w:t> </w:t>
                    </w:r>
                    <w:r>
                      <w:rPr/>
                      <w:t>no</w:t>
                    </w:r>
                    <w:r>
                      <w:rPr>
                        <w:spacing w:val="-8"/>
                      </w:rPr>
                      <w:t> </w:t>
                    </w:r>
                    <w:r>
                      <w:rPr/>
                      <w:t>C</w:t>
                    </w:r>
                    <w:r>
                      <w:rPr>
                        <w:spacing w:val="-1"/>
                      </w:rPr>
                      <w:t> </w:t>
                    </w:r>
                    <w:r>
                      <w:rPr/>
                      <w:t>59 </w:t>
                    </w:r>
                    <w:r>
                      <w:rPr>
                        <w:spacing w:val="-5"/>
                      </w:rPr>
                      <w:t>427</w:t>
                    </w:r>
                  </w:p>
                </w:txbxContent>
              </v:textbox>
              <w10:wrap type="none"/>
            </v:shape>
          </w:pict>
        </mc:Fallback>
      </mc:AlternateContent>
    </w:r>
    <w:r>
      <w:rPr>
        <w:noProof/>
        <w:sz w:val="20"/>
      </w:rPr>
      <mc:AlternateContent>
        <mc:Choice Requires="wps">
          <w:drawing>
            <wp:anchor distT="0" distB="0" distL="0" distR="0" simplePos="0" relativeHeight="487191040" behindDoc="1" locked="0" layoutInCell="1" allowOverlap="1" wp14:anchorId="55A52BD5" wp14:editId="3C8F6E8F">
              <wp:simplePos x="0" y="0"/>
              <wp:positionH relativeFrom="page">
                <wp:posOffset>5680709</wp:posOffset>
              </wp:positionH>
              <wp:positionV relativeFrom="page">
                <wp:posOffset>449144</wp:posOffset>
              </wp:positionV>
              <wp:extent cx="969644" cy="18542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9644" cy="185420"/>
                      </a:xfrm>
                      <a:prstGeom prst="rect">
                        <a:avLst/>
                      </a:prstGeom>
                    </wps:spPr>
                    <wps:txbx>
                      <w:txbxContent>
                        <w:p w14:paraId="28B92E92" w14:textId="77777777" w:rsidR="00E32F98" w:rsidRDefault="00000000">
                          <w:pPr>
                            <w:pStyle w:val="Corpsdetexte"/>
                            <w:spacing w:before="17"/>
                            <w:ind w:left="20"/>
                          </w:pPr>
                          <w:r>
                            <w:t>Page</w:t>
                          </w:r>
                          <w:r>
                            <w:rPr>
                              <w:spacing w:val="-5"/>
                            </w:rPr>
                            <w:t xml:space="preserve"> </w:t>
                          </w:r>
                          <w:r>
                            <w:t>sur</w:t>
                          </w:r>
                          <w:r>
                            <w:rPr>
                              <w:spacing w:val="5"/>
                            </w:rPr>
                            <w:t xml:space="preserve"> </w:t>
                          </w:r>
                          <w:r>
                            <w:fldChar w:fldCharType="begin"/>
                          </w:r>
                          <w:r>
                            <w:instrText xml:space="preserve"> PAGE </w:instrText>
                          </w:r>
                          <w:r>
                            <w:fldChar w:fldCharType="separate"/>
                          </w:r>
                          <w:r>
                            <w:t>10</w:t>
                          </w:r>
                          <w:r>
                            <w:fldChar w:fldCharType="end"/>
                          </w:r>
                          <w:r>
                            <w:rPr>
                              <w:spacing w:val="-4"/>
                            </w:rPr>
                            <w:t xml:space="preserve"> </w:t>
                          </w:r>
                          <w:r>
                            <w:rPr>
                              <w:spacing w:val="-5"/>
                            </w:rPr>
                            <w:fldChar w:fldCharType="begin"/>
                          </w:r>
                          <w:r>
                            <w:rPr>
                              <w:spacing w:val="-5"/>
                            </w:rPr>
                            <w:instrText xml:space="preserve"> NUMPAGES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299988pt;margin-top:35.365673pt;width:76.350pt;height:14.6pt;mso-position-horizontal-relative:page;mso-position-vertical-relative:page;z-index:-16125440" type="#_x0000_t202" id="docshape57" filled="false" stroked="false">
              <v:textbox inset="0,0,0,0">
                <w:txbxContent>
                  <w:p>
                    <w:pPr>
                      <w:pStyle w:val="BodyText"/>
                      <w:spacing w:before="17"/>
                      <w:ind w:left="20"/>
                    </w:pPr>
                    <w:r>
                      <w:rPr/>
                      <w:t>Page</w:t>
                    </w:r>
                    <w:r>
                      <w:rPr>
                        <w:spacing w:val="-5"/>
                      </w:rPr>
                      <w:t> </w:t>
                    </w:r>
                    <w:r>
                      <w:rPr/>
                      <w:t>sur</w:t>
                    </w:r>
                    <w:r>
                      <w:rPr>
                        <w:spacing w:val="5"/>
                      </w:rPr>
                      <w:t> </w:t>
                    </w:r>
                    <w:r>
                      <w:rPr/>
                      <w:fldChar w:fldCharType="begin"/>
                    </w:r>
                    <w:r>
                      <w:rPr/>
                      <w:instrText> PAGE </w:instrText>
                    </w:r>
                    <w:r>
                      <w:rPr/>
                      <w:fldChar w:fldCharType="separate"/>
                    </w:r>
                    <w:r>
                      <w:rPr/>
                      <w:t>10</w:t>
                    </w:r>
                    <w:r>
                      <w:rPr/>
                      <w:fldChar w:fldCharType="end"/>
                    </w:r>
                    <w:r>
                      <w:rPr>
                        <w:spacing w:val="-4"/>
                      </w:rPr>
                      <w:t> </w:t>
                    </w:r>
                    <w:r>
                      <w:rPr>
                        <w:spacing w:val="-5"/>
                      </w:rPr>
                      <w:fldChar w:fldCharType="begin"/>
                    </w:r>
                    <w:r>
                      <w:rPr>
                        <w:spacing w:val="-5"/>
                      </w:rPr>
                      <w:instrText> NUMPAGES </w:instrText>
                    </w:r>
                    <w:r>
                      <w:rPr>
                        <w:spacing w:val="-5"/>
                      </w:rPr>
                      <w:fldChar w:fldCharType="separate"/>
                    </w:r>
                    <w:r>
                      <w:rPr>
                        <w:spacing w:val="-5"/>
                      </w:rPr>
                      <w:t>23</w:t>
                    </w:r>
                    <w:r>
                      <w:rPr>
                        <w:spacing w:val="-5"/>
                      </w:rPr>
                      <w:fldChar w:fldCharType="end"/>
                    </w:r>
                  </w:p>
                </w:txbxContent>
              </v:textbox>
              <w10:wrap type="non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AA4854"/>
    <w:multiLevelType w:val="hybridMultilevel"/>
    <w:tmpl w:val="121879A8"/>
    <w:lvl w:ilvl="0" w:tplc="93AA836E">
      <w:start w:val="1"/>
      <w:numFmt w:val="lowerLetter"/>
      <w:lvlText w:val="%1)"/>
      <w:lvlJc w:val="left"/>
      <w:pPr>
        <w:ind w:left="421" w:hanging="255"/>
        <w:jc w:val="left"/>
      </w:pPr>
      <w:rPr>
        <w:rFonts w:ascii="Arial" w:eastAsia="Arial" w:hAnsi="Arial" w:cs="Arial" w:hint="default"/>
        <w:b/>
        <w:bCs/>
        <w:i w:val="0"/>
        <w:iCs w:val="0"/>
        <w:spacing w:val="-6"/>
        <w:w w:val="102"/>
        <w:sz w:val="22"/>
        <w:szCs w:val="22"/>
        <w:lang w:val="fr-FR" w:eastAsia="en-US" w:bidi="ar-SA"/>
      </w:rPr>
    </w:lvl>
    <w:lvl w:ilvl="1" w:tplc="A5F8CD28">
      <w:numFmt w:val="bullet"/>
      <w:lvlText w:val="•"/>
      <w:lvlJc w:val="left"/>
      <w:pPr>
        <w:ind w:left="1314" w:hanging="255"/>
      </w:pPr>
      <w:rPr>
        <w:rFonts w:hint="default"/>
        <w:lang w:val="fr-FR" w:eastAsia="en-US" w:bidi="ar-SA"/>
      </w:rPr>
    </w:lvl>
    <w:lvl w:ilvl="2" w:tplc="06DA2190">
      <w:numFmt w:val="bullet"/>
      <w:lvlText w:val="•"/>
      <w:lvlJc w:val="left"/>
      <w:pPr>
        <w:ind w:left="2208" w:hanging="255"/>
      </w:pPr>
      <w:rPr>
        <w:rFonts w:hint="default"/>
        <w:lang w:val="fr-FR" w:eastAsia="en-US" w:bidi="ar-SA"/>
      </w:rPr>
    </w:lvl>
    <w:lvl w:ilvl="3" w:tplc="11181502">
      <w:numFmt w:val="bullet"/>
      <w:lvlText w:val="•"/>
      <w:lvlJc w:val="left"/>
      <w:pPr>
        <w:ind w:left="3102" w:hanging="255"/>
      </w:pPr>
      <w:rPr>
        <w:rFonts w:hint="default"/>
        <w:lang w:val="fr-FR" w:eastAsia="en-US" w:bidi="ar-SA"/>
      </w:rPr>
    </w:lvl>
    <w:lvl w:ilvl="4" w:tplc="4EBE2E70">
      <w:numFmt w:val="bullet"/>
      <w:lvlText w:val="•"/>
      <w:lvlJc w:val="left"/>
      <w:pPr>
        <w:ind w:left="3996" w:hanging="255"/>
      </w:pPr>
      <w:rPr>
        <w:rFonts w:hint="default"/>
        <w:lang w:val="fr-FR" w:eastAsia="en-US" w:bidi="ar-SA"/>
      </w:rPr>
    </w:lvl>
    <w:lvl w:ilvl="5" w:tplc="FB12751E">
      <w:numFmt w:val="bullet"/>
      <w:lvlText w:val="•"/>
      <w:lvlJc w:val="left"/>
      <w:pPr>
        <w:ind w:left="4890" w:hanging="255"/>
      </w:pPr>
      <w:rPr>
        <w:rFonts w:hint="default"/>
        <w:lang w:val="fr-FR" w:eastAsia="en-US" w:bidi="ar-SA"/>
      </w:rPr>
    </w:lvl>
    <w:lvl w:ilvl="6" w:tplc="9C1E9CFC">
      <w:numFmt w:val="bullet"/>
      <w:lvlText w:val="•"/>
      <w:lvlJc w:val="left"/>
      <w:pPr>
        <w:ind w:left="5784" w:hanging="255"/>
      </w:pPr>
      <w:rPr>
        <w:rFonts w:hint="default"/>
        <w:lang w:val="fr-FR" w:eastAsia="en-US" w:bidi="ar-SA"/>
      </w:rPr>
    </w:lvl>
    <w:lvl w:ilvl="7" w:tplc="07BE5424">
      <w:numFmt w:val="bullet"/>
      <w:lvlText w:val="•"/>
      <w:lvlJc w:val="left"/>
      <w:pPr>
        <w:ind w:left="6678" w:hanging="255"/>
      </w:pPr>
      <w:rPr>
        <w:rFonts w:hint="default"/>
        <w:lang w:val="fr-FR" w:eastAsia="en-US" w:bidi="ar-SA"/>
      </w:rPr>
    </w:lvl>
    <w:lvl w:ilvl="8" w:tplc="5360F972">
      <w:numFmt w:val="bullet"/>
      <w:lvlText w:val="•"/>
      <w:lvlJc w:val="left"/>
      <w:pPr>
        <w:ind w:left="7572" w:hanging="255"/>
      </w:pPr>
      <w:rPr>
        <w:rFonts w:hint="default"/>
        <w:lang w:val="fr-FR" w:eastAsia="en-US" w:bidi="ar-SA"/>
      </w:rPr>
    </w:lvl>
  </w:abstractNum>
  <w:abstractNum w:abstractNumId="1" w15:restartNumberingAfterBreak="0">
    <w:nsid w:val="320243A9"/>
    <w:multiLevelType w:val="hybridMultilevel"/>
    <w:tmpl w:val="F092B3F6"/>
    <w:lvl w:ilvl="0" w:tplc="775A44DC">
      <w:start w:val="1"/>
      <w:numFmt w:val="lowerLetter"/>
      <w:lvlText w:val="%1)"/>
      <w:lvlJc w:val="left"/>
      <w:pPr>
        <w:ind w:left="421" w:hanging="255"/>
        <w:jc w:val="left"/>
      </w:pPr>
      <w:rPr>
        <w:rFonts w:ascii="Arial" w:eastAsia="Arial" w:hAnsi="Arial" w:cs="Arial" w:hint="default"/>
        <w:b/>
        <w:bCs/>
        <w:i w:val="0"/>
        <w:iCs w:val="0"/>
        <w:spacing w:val="-6"/>
        <w:w w:val="102"/>
        <w:sz w:val="22"/>
        <w:szCs w:val="22"/>
        <w:lang w:val="fr-FR" w:eastAsia="en-US" w:bidi="ar-SA"/>
      </w:rPr>
    </w:lvl>
    <w:lvl w:ilvl="1" w:tplc="1F160804">
      <w:start w:val="1"/>
      <w:numFmt w:val="lowerLetter"/>
      <w:lvlText w:val="(%2)"/>
      <w:lvlJc w:val="left"/>
      <w:pPr>
        <w:ind w:left="1097" w:hanging="331"/>
        <w:jc w:val="left"/>
      </w:pPr>
      <w:rPr>
        <w:rFonts w:ascii="Arial MT" w:eastAsia="Arial MT" w:hAnsi="Arial MT" w:cs="Arial MT" w:hint="default"/>
        <w:b w:val="0"/>
        <w:bCs w:val="0"/>
        <w:i w:val="0"/>
        <w:iCs w:val="0"/>
        <w:spacing w:val="-5"/>
        <w:w w:val="102"/>
        <w:sz w:val="22"/>
        <w:szCs w:val="22"/>
        <w:lang w:val="fr-FR" w:eastAsia="en-US" w:bidi="ar-SA"/>
      </w:rPr>
    </w:lvl>
    <w:lvl w:ilvl="2" w:tplc="029464C4">
      <w:numFmt w:val="bullet"/>
      <w:lvlText w:val="•"/>
      <w:lvlJc w:val="left"/>
      <w:pPr>
        <w:ind w:left="2017" w:hanging="331"/>
      </w:pPr>
      <w:rPr>
        <w:rFonts w:hint="default"/>
        <w:lang w:val="fr-FR" w:eastAsia="en-US" w:bidi="ar-SA"/>
      </w:rPr>
    </w:lvl>
    <w:lvl w:ilvl="3" w:tplc="4BE03580">
      <w:numFmt w:val="bullet"/>
      <w:lvlText w:val="•"/>
      <w:lvlJc w:val="left"/>
      <w:pPr>
        <w:ind w:left="2935" w:hanging="331"/>
      </w:pPr>
      <w:rPr>
        <w:rFonts w:hint="default"/>
        <w:lang w:val="fr-FR" w:eastAsia="en-US" w:bidi="ar-SA"/>
      </w:rPr>
    </w:lvl>
    <w:lvl w:ilvl="4" w:tplc="C96CEEF2">
      <w:numFmt w:val="bullet"/>
      <w:lvlText w:val="•"/>
      <w:lvlJc w:val="left"/>
      <w:pPr>
        <w:ind w:left="3853" w:hanging="331"/>
      </w:pPr>
      <w:rPr>
        <w:rFonts w:hint="default"/>
        <w:lang w:val="fr-FR" w:eastAsia="en-US" w:bidi="ar-SA"/>
      </w:rPr>
    </w:lvl>
    <w:lvl w:ilvl="5" w:tplc="635E891E">
      <w:numFmt w:val="bullet"/>
      <w:lvlText w:val="•"/>
      <w:lvlJc w:val="left"/>
      <w:pPr>
        <w:ind w:left="4771" w:hanging="331"/>
      </w:pPr>
      <w:rPr>
        <w:rFonts w:hint="default"/>
        <w:lang w:val="fr-FR" w:eastAsia="en-US" w:bidi="ar-SA"/>
      </w:rPr>
    </w:lvl>
    <w:lvl w:ilvl="6" w:tplc="CE0423E2">
      <w:numFmt w:val="bullet"/>
      <w:lvlText w:val="•"/>
      <w:lvlJc w:val="left"/>
      <w:pPr>
        <w:ind w:left="5688" w:hanging="331"/>
      </w:pPr>
      <w:rPr>
        <w:rFonts w:hint="default"/>
        <w:lang w:val="fr-FR" w:eastAsia="en-US" w:bidi="ar-SA"/>
      </w:rPr>
    </w:lvl>
    <w:lvl w:ilvl="7" w:tplc="F4CE325A">
      <w:numFmt w:val="bullet"/>
      <w:lvlText w:val="•"/>
      <w:lvlJc w:val="left"/>
      <w:pPr>
        <w:ind w:left="6606" w:hanging="331"/>
      </w:pPr>
      <w:rPr>
        <w:rFonts w:hint="default"/>
        <w:lang w:val="fr-FR" w:eastAsia="en-US" w:bidi="ar-SA"/>
      </w:rPr>
    </w:lvl>
    <w:lvl w:ilvl="8" w:tplc="1C9601CC">
      <w:numFmt w:val="bullet"/>
      <w:lvlText w:val="•"/>
      <w:lvlJc w:val="left"/>
      <w:pPr>
        <w:ind w:left="7524" w:hanging="331"/>
      </w:pPr>
      <w:rPr>
        <w:rFonts w:hint="default"/>
        <w:lang w:val="fr-FR" w:eastAsia="en-US" w:bidi="ar-SA"/>
      </w:rPr>
    </w:lvl>
  </w:abstractNum>
  <w:abstractNum w:abstractNumId="2" w15:restartNumberingAfterBreak="0">
    <w:nsid w:val="39B05C0D"/>
    <w:multiLevelType w:val="hybridMultilevel"/>
    <w:tmpl w:val="77009B90"/>
    <w:lvl w:ilvl="0" w:tplc="7DF004E8">
      <w:numFmt w:val="bullet"/>
      <w:lvlText w:val="—"/>
      <w:lvlJc w:val="left"/>
      <w:pPr>
        <w:ind w:left="887" w:hanging="360"/>
      </w:pPr>
      <w:rPr>
        <w:rFonts w:ascii="Arial MT" w:eastAsia="Arial MT" w:hAnsi="Arial MT" w:cs="Arial MT" w:hint="default"/>
        <w:b w:val="0"/>
        <w:bCs w:val="0"/>
        <w:i w:val="0"/>
        <w:iCs w:val="0"/>
        <w:spacing w:val="0"/>
        <w:w w:val="102"/>
        <w:sz w:val="22"/>
        <w:szCs w:val="22"/>
        <w:lang w:val="fr-FR" w:eastAsia="en-US" w:bidi="ar-SA"/>
      </w:rPr>
    </w:lvl>
    <w:lvl w:ilvl="1" w:tplc="A75AD7A8">
      <w:numFmt w:val="bullet"/>
      <w:lvlText w:val="•"/>
      <w:lvlJc w:val="left"/>
      <w:pPr>
        <w:ind w:left="1728" w:hanging="360"/>
      </w:pPr>
      <w:rPr>
        <w:rFonts w:hint="default"/>
        <w:lang w:val="fr-FR" w:eastAsia="en-US" w:bidi="ar-SA"/>
      </w:rPr>
    </w:lvl>
    <w:lvl w:ilvl="2" w:tplc="FDC28866">
      <w:numFmt w:val="bullet"/>
      <w:lvlText w:val="•"/>
      <w:lvlJc w:val="left"/>
      <w:pPr>
        <w:ind w:left="2576" w:hanging="360"/>
      </w:pPr>
      <w:rPr>
        <w:rFonts w:hint="default"/>
        <w:lang w:val="fr-FR" w:eastAsia="en-US" w:bidi="ar-SA"/>
      </w:rPr>
    </w:lvl>
    <w:lvl w:ilvl="3" w:tplc="2E2E1FCA">
      <w:numFmt w:val="bullet"/>
      <w:lvlText w:val="•"/>
      <w:lvlJc w:val="left"/>
      <w:pPr>
        <w:ind w:left="3424" w:hanging="360"/>
      </w:pPr>
      <w:rPr>
        <w:rFonts w:hint="default"/>
        <w:lang w:val="fr-FR" w:eastAsia="en-US" w:bidi="ar-SA"/>
      </w:rPr>
    </w:lvl>
    <w:lvl w:ilvl="4" w:tplc="D67A91AE">
      <w:numFmt w:val="bullet"/>
      <w:lvlText w:val="•"/>
      <w:lvlJc w:val="left"/>
      <w:pPr>
        <w:ind w:left="4272" w:hanging="360"/>
      </w:pPr>
      <w:rPr>
        <w:rFonts w:hint="default"/>
        <w:lang w:val="fr-FR" w:eastAsia="en-US" w:bidi="ar-SA"/>
      </w:rPr>
    </w:lvl>
    <w:lvl w:ilvl="5" w:tplc="62BA107E">
      <w:numFmt w:val="bullet"/>
      <w:lvlText w:val="•"/>
      <w:lvlJc w:val="left"/>
      <w:pPr>
        <w:ind w:left="5120" w:hanging="360"/>
      </w:pPr>
      <w:rPr>
        <w:rFonts w:hint="default"/>
        <w:lang w:val="fr-FR" w:eastAsia="en-US" w:bidi="ar-SA"/>
      </w:rPr>
    </w:lvl>
    <w:lvl w:ilvl="6" w:tplc="2514D47A">
      <w:numFmt w:val="bullet"/>
      <w:lvlText w:val="•"/>
      <w:lvlJc w:val="left"/>
      <w:pPr>
        <w:ind w:left="5968" w:hanging="360"/>
      </w:pPr>
      <w:rPr>
        <w:rFonts w:hint="default"/>
        <w:lang w:val="fr-FR" w:eastAsia="en-US" w:bidi="ar-SA"/>
      </w:rPr>
    </w:lvl>
    <w:lvl w:ilvl="7" w:tplc="C5CA8AE8">
      <w:numFmt w:val="bullet"/>
      <w:lvlText w:val="•"/>
      <w:lvlJc w:val="left"/>
      <w:pPr>
        <w:ind w:left="6816" w:hanging="360"/>
      </w:pPr>
      <w:rPr>
        <w:rFonts w:hint="default"/>
        <w:lang w:val="fr-FR" w:eastAsia="en-US" w:bidi="ar-SA"/>
      </w:rPr>
    </w:lvl>
    <w:lvl w:ilvl="8" w:tplc="69F6804E">
      <w:numFmt w:val="bullet"/>
      <w:lvlText w:val="•"/>
      <w:lvlJc w:val="left"/>
      <w:pPr>
        <w:ind w:left="7664" w:hanging="360"/>
      </w:pPr>
      <w:rPr>
        <w:rFonts w:hint="default"/>
        <w:lang w:val="fr-FR" w:eastAsia="en-US" w:bidi="ar-SA"/>
      </w:rPr>
    </w:lvl>
  </w:abstractNum>
  <w:abstractNum w:abstractNumId="3" w15:restartNumberingAfterBreak="0">
    <w:nsid w:val="42EE6B49"/>
    <w:multiLevelType w:val="hybridMultilevel"/>
    <w:tmpl w:val="30C425C4"/>
    <w:lvl w:ilvl="0" w:tplc="4C1AE05E">
      <w:numFmt w:val="bullet"/>
      <w:lvlText w:val="—"/>
      <w:lvlJc w:val="left"/>
      <w:pPr>
        <w:ind w:left="887" w:hanging="360"/>
      </w:pPr>
      <w:rPr>
        <w:rFonts w:ascii="Arial MT" w:eastAsia="Arial MT" w:hAnsi="Arial MT" w:cs="Arial MT" w:hint="default"/>
        <w:b w:val="0"/>
        <w:bCs w:val="0"/>
        <w:i w:val="0"/>
        <w:iCs w:val="0"/>
        <w:spacing w:val="0"/>
        <w:w w:val="102"/>
        <w:sz w:val="22"/>
        <w:szCs w:val="22"/>
        <w:lang w:val="fr-FR" w:eastAsia="en-US" w:bidi="ar-SA"/>
      </w:rPr>
    </w:lvl>
    <w:lvl w:ilvl="1" w:tplc="0E3ED684">
      <w:numFmt w:val="bullet"/>
      <w:lvlText w:val="•"/>
      <w:lvlJc w:val="left"/>
      <w:pPr>
        <w:ind w:left="1728" w:hanging="360"/>
      </w:pPr>
      <w:rPr>
        <w:rFonts w:hint="default"/>
        <w:lang w:val="fr-FR" w:eastAsia="en-US" w:bidi="ar-SA"/>
      </w:rPr>
    </w:lvl>
    <w:lvl w:ilvl="2" w:tplc="26CA7188">
      <w:numFmt w:val="bullet"/>
      <w:lvlText w:val="•"/>
      <w:lvlJc w:val="left"/>
      <w:pPr>
        <w:ind w:left="2576" w:hanging="360"/>
      </w:pPr>
      <w:rPr>
        <w:rFonts w:hint="default"/>
        <w:lang w:val="fr-FR" w:eastAsia="en-US" w:bidi="ar-SA"/>
      </w:rPr>
    </w:lvl>
    <w:lvl w:ilvl="3" w:tplc="076E84D4">
      <w:numFmt w:val="bullet"/>
      <w:lvlText w:val="•"/>
      <w:lvlJc w:val="left"/>
      <w:pPr>
        <w:ind w:left="3424" w:hanging="360"/>
      </w:pPr>
      <w:rPr>
        <w:rFonts w:hint="default"/>
        <w:lang w:val="fr-FR" w:eastAsia="en-US" w:bidi="ar-SA"/>
      </w:rPr>
    </w:lvl>
    <w:lvl w:ilvl="4" w:tplc="4142DF20">
      <w:numFmt w:val="bullet"/>
      <w:lvlText w:val="•"/>
      <w:lvlJc w:val="left"/>
      <w:pPr>
        <w:ind w:left="4272" w:hanging="360"/>
      </w:pPr>
      <w:rPr>
        <w:rFonts w:hint="default"/>
        <w:lang w:val="fr-FR" w:eastAsia="en-US" w:bidi="ar-SA"/>
      </w:rPr>
    </w:lvl>
    <w:lvl w:ilvl="5" w:tplc="4F4EE4DA">
      <w:numFmt w:val="bullet"/>
      <w:lvlText w:val="•"/>
      <w:lvlJc w:val="left"/>
      <w:pPr>
        <w:ind w:left="5120" w:hanging="360"/>
      </w:pPr>
      <w:rPr>
        <w:rFonts w:hint="default"/>
        <w:lang w:val="fr-FR" w:eastAsia="en-US" w:bidi="ar-SA"/>
      </w:rPr>
    </w:lvl>
    <w:lvl w:ilvl="6" w:tplc="36FE1732">
      <w:numFmt w:val="bullet"/>
      <w:lvlText w:val="•"/>
      <w:lvlJc w:val="left"/>
      <w:pPr>
        <w:ind w:left="5968" w:hanging="360"/>
      </w:pPr>
      <w:rPr>
        <w:rFonts w:hint="default"/>
        <w:lang w:val="fr-FR" w:eastAsia="en-US" w:bidi="ar-SA"/>
      </w:rPr>
    </w:lvl>
    <w:lvl w:ilvl="7" w:tplc="503C9494">
      <w:numFmt w:val="bullet"/>
      <w:lvlText w:val="•"/>
      <w:lvlJc w:val="left"/>
      <w:pPr>
        <w:ind w:left="6816" w:hanging="360"/>
      </w:pPr>
      <w:rPr>
        <w:rFonts w:hint="default"/>
        <w:lang w:val="fr-FR" w:eastAsia="en-US" w:bidi="ar-SA"/>
      </w:rPr>
    </w:lvl>
    <w:lvl w:ilvl="8" w:tplc="9E743ECC">
      <w:numFmt w:val="bullet"/>
      <w:lvlText w:val="•"/>
      <w:lvlJc w:val="left"/>
      <w:pPr>
        <w:ind w:left="7664" w:hanging="360"/>
      </w:pPr>
      <w:rPr>
        <w:rFonts w:hint="default"/>
        <w:lang w:val="fr-FR" w:eastAsia="en-US" w:bidi="ar-SA"/>
      </w:rPr>
    </w:lvl>
  </w:abstractNum>
  <w:num w:numId="1" w16cid:durableId="720642061">
    <w:abstractNumId w:val="0"/>
  </w:num>
  <w:num w:numId="2" w16cid:durableId="276454006">
    <w:abstractNumId w:val="1"/>
  </w:num>
  <w:num w:numId="3" w16cid:durableId="1755542884">
    <w:abstractNumId w:val="2"/>
  </w:num>
  <w:num w:numId="4" w16cid:durableId="4670922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32F98"/>
    <w:rsid w:val="00186B0D"/>
    <w:rsid w:val="0047645A"/>
    <w:rsid w:val="005F2735"/>
    <w:rsid w:val="00E32F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5E2F8B3"/>
  <w15:docId w15:val="{340E9130-0509-9D4B-AD5C-3A0D80789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fr-FR"/>
    </w:rPr>
  </w:style>
  <w:style w:type="paragraph" w:styleId="Titre1">
    <w:name w:val="heading 1"/>
    <w:basedOn w:val="Normal"/>
    <w:uiPriority w:val="9"/>
    <w:qFormat/>
    <w:pPr>
      <w:ind w:left="166"/>
      <w:jc w:val="center"/>
      <w:outlineLvl w:val="0"/>
    </w:pPr>
    <w:rPr>
      <w:rFonts w:ascii="Arial" w:eastAsia="Arial" w:hAnsi="Arial" w:cs="Arial"/>
      <w:b/>
      <w:bCs/>
    </w:rPr>
  </w:style>
  <w:style w:type="paragraph" w:styleId="Titre2">
    <w:name w:val="heading 2"/>
    <w:basedOn w:val="Normal"/>
    <w:uiPriority w:val="9"/>
    <w:unhideWhenUsed/>
    <w:qFormat/>
    <w:pPr>
      <w:ind w:left="419" w:hanging="253"/>
      <w:outlineLvl w:val="1"/>
    </w:pPr>
    <w:rPr>
      <w:rFonts w:ascii="Arial" w:eastAsia="Arial" w:hAnsi="Arial" w:cs="Arial"/>
      <w:b/>
      <w:bCs/>
    </w:rPr>
  </w:style>
  <w:style w:type="paragraph" w:styleId="Titre3">
    <w:name w:val="heading 3"/>
    <w:basedOn w:val="Normal"/>
    <w:uiPriority w:val="9"/>
    <w:unhideWhenUsed/>
    <w:qFormat/>
    <w:pPr>
      <w:ind w:left="527"/>
      <w:outlineLvl w:val="2"/>
    </w:pPr>
    <w:rPr>
      <w:rFonts w:ascii="Arial" w:eastAsia="Arial" w:hAnsi="Arial" w:cs="Arial"/>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887"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header" Target="header6.xml"/><Relationship Id="rId21" Type="http://schemas.openxmlformats.org/officeDocument/2006/relationships/image" Target="media/image70.jpeg"/><Relationship Id="rId34" Type="http://schemas.openxmlformats.org/officeDocument/2006/relationships/image" Target="media/image140.jpeg"/><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240.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20.jpeg"/><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www.moncler.com/" TargetMode="External"/><Relationship Id="rId40" Type="http://schemas.openxmlformats.org/officeDocument/2006/relationships/header" Target="header7.xml"/><Relationship Id="rId45" Type="http://schemas.openxmlformats.org/officeDocument/2006/relationships/image" Target="media/image20.jpeg"/><Relationship Id="rId53" Type="http://schemas.openxmlformats.org/officeDocument/2006/relationships/image" Target="media/image220.jpeg"/><Relationship Id="rId58" Type="http://schemas.openxmlformats.org/officeDocument/2006/relationships/image" Target="media/image270.jpeg"/><Relationship Id="rId5" Type="http://schemas.openxmlformats.org/officeDocument/2006/relationships/footnotes" Target="footnotes.xml"/><Relationship Id="rId61" Type="http://schemas.openxmlformats.org/officeDocument/2006/relationships/image" Target="media/image28.jpeg"/><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image" Target="media/image80.jpeg"/><Relationship Id="rId27" Type="http://schemas.openxmlformats.org/officeDocument/2006/relationships/image" Target="media/image13.jpeg"/><Relationship Id="rId30" Type="http://schemas.openxmlformats.org/officeDocument/2006/relationships/image" Target="media/image130.jpeg"/><Relationship Id="rId35" Type="http://schemas.openxmlformats.org/officeDocument/2006/relationships/image" Target="media/image150.jpeg"/><Relationship Id="rId43" Type="http://schemas.openxmlformats.org/officeDocument/2006/relationships/image" Target="media/image180.jpeg"/><Relationship Id="rId48" Type="http://schemas.openxmlformats.org/officeDocument/2006/relationships/image" Target="media/image23.jpeg"/><Relationship Id="rId56" Type="http://schemas.openxmlformats.org/officeDocument/2006/relationships/image" Target="media/image250.jpeg"/><Relationship Id="rId8" Type="http://schemas.openxmlformats.org/officeDocument/2006/relationships/header" Target="header1.xml"/><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hyperlink" Target="http://www.standard.co.uk/" TargetMode="External"/><Relationship Id="rId17" Type="http://schemas.openxmlformats.org/officeDocument/2006/relationships/header" Target="header4.xm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eader" Target="header8.xml"/><Relationship Id="rId20" Type="http://schemas.openxmlformats.org/officeDocument/2006/relationships/image" Target="media/image8.jpeg"/><Relationship Id="rId41" Type="http://schemas.openxmlformats.org/officeDocument/2006/relationships/image" Target="media/image18.jpeg"/><Relationship Id="rId54" Type="http://schemas.openxmlformats.org/officeDocument/2006/relationships/image" Target="media/image230.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10.jpeg"/><Relationship Id="rId36" Type="http://schemas.openxmlformats.org/officeDocument/2006/relationships/image" Target="media/image16.jpeg"/><Relationship Id="rId49" Type="http://schemas.openxmlformats.org/officeDocument/2006/relationships/image" Target="media/image24.jpeg"/><Relationship Id="rId57" Type="http://schemas.openxmlformats.org/officeDocument/2006/relationships/image" Target="media/image260.jpeg"/><Relationship Id="rId10" Type="http://schemas.openxmlformats.org/officeDocument/2006/relationships/hyperlink" Target="http://www.monclergroup.com/" TargetMode="External"/><Relationship Id="rId31" Type="http://schemas.openxmlformats.org/officeDocument/2006/relationships/header" Target="header5.xml"/><Relationship Id="rId44" Type="http://schemas.openxmlformats.org/officeDocument/2006/relationships/image" Target="media/image190.jpeg"/><Relationship Id="rId52" Type="http://schemas.openxmlformats.org/officeDocument/2006/relationships/image" Target="media/image27.jpeg"/><Relationship Id="rId60"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11098</Words>
  <Characters>61039</Characters>
  <Application>Microsoft Office Word</Application>
  <DocSecurity>0</DocSecurity>
  <Lines>508</Lines>
  <Paragraphs>143</Paragraphs>
  <ScaleCrop>false</ScaleCrop>
  <Company/>
  <LinksUpToDate>false</LinksUpToDate>
  <CharactersWithSpaces>71994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C59427-EN-MONTEC.docx</dc:title>
  <cp:lastModifiedBy>Me Julie CURTO</cp:lastModifiedBy>
  <cp:revision>2</cp:revision>
  <dcterms:created xsi:type="dcterms:W3CDTF">2024-12-28T14:37:00Z</dcterms:created>
  <dcterms:modified xsi:type="dcterms:W3CDTF">2024-12-28T14:37:00Z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2024-09-13T00:00:00Z</vt:filetime>
  </property>
  <property fmtid="{D5CDD505-2E9C-101B-9397-08002B2CF9AE}" pid="3" name="Creator">
    <vt:lpwstr>Microsoft® Word 2019</vt:lpwstr>
  </property>
  <property fmtid="{D5CDD505-2E9C-101B-9397-08002B2CF9AE}" pid="4" name="LastSaved">
    <vt:filetime>2024-12-28T00:00:00Z</vt:filetime>
  </property>
  <property fmtid="{D5CDD505-2E9C-101B-9397-08002B2CF9AE}" pid="5" name="Producer">
    <vt:lpwstr>Microsoft® Word 2019; modified using iText® 5.4.4 ©2000-2013 1T3XT BVBA (AGPL-version)</vt:lpwstr>
  </property>
</Properties>
</file>